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18 vom 11. Dezember 2015</w:t>
      </w:r>
    </w:p>
    <w:p>
      <w:r>
        <w:t>VD Tribunal cantonal, 2015-12-11, FR</w:t>
      </w:r>
    </w:p>
    <w:p>
      <w:r>
        <w:rPr>
          <w:b/>
        </w:rPr>
        <w:t xml:space="preserve">Quelle: </w:t>
      </w:r>
      <w:r>
        <w:t>https://mcp.opencaselaw.ch/entscheid/vd_findinfo_D_cision___2016___18</w:t>
      </w:r>
    </w:p>
    <w:p>
      <w:r>
        <w:t>FR: VD_FINDINFO Décision / 2016 / 18 du 11 décembre 2015</w:t>
      </w:r>
    </w:p>
    <w:p>
      <w:r>
        <w:t>IT: VD_FINDINFO Décision / 2016 / 18 del 11 dicembre 2015</w:t>
      </w:r>
    </w:p>
    <w:p>
      <w:pPr>
        <w:pStyle w:val="Heading2"/>
      </w:pPr>
      <w:r>
        <w:t>Regeste</w:t>
      </w:r>
    </w:p>
    <w:p>
      <w:r>
        <w:t>NON-LIEU | 319 al. 1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par la plaignante qui a la qualité pour recourir (cf. art. 382 al. 1 CPP), le recours est recevable .</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cf. ég. ATF 138 IV 186 consid. 4).</w:t>
      </w:r>
    </w:p>
    <w:p>
      <w:r>
        <w:rPr>
          <w:b/>
        </w:rPr>
        <w:t>E. 2.2</w:t>
      </w:r>
    </w:p>
    <w:p>
      <w:r>
        <w:t>En l’espèce, la recourante fait d’abord grief au Procureur d’avoir classé la procédure alors même que, selon elle, les paroles qui lui sont attribuées par cette décision ne seraient pas clairement audibles, compte tenu de la mauvaise qualité de l’enregistrement; en effet, les moyens informatiques à sa disposition « ne lui permet[trai]ent pas d’entendre les termes retenus dans le cadre de la décision attaquée ». Elle ajoute que, même si elle devait avoir effectivement prononcé les paroles retenues par l’ordonnance de classement, elle n’aurait pas pour autant valablement consenti à l’enregistrement de l’entretien, ce au regard des circonstances spécifiques de l’affaire; en effet, l’enregistrement aurait débuté avant qu’elle n’en fût informée, de sorte qu’elle aurait été « mise devant le fait accompli » et aurait ainsi été « prise dans une situation de contrainte » (recours, ch. 3, p. 3).</w:t>
      </w:r>
    </w:p>
    <w:p>
      <w:r>
        <w:rPr>
          <w:b/>
        </w:rPr>
        <w:t>E. 2.3</w:t>
      </w:r>
    </w:p>
    <w:p>
      <w:r>
        <w:t>Le fragment de phrase retenu par le procureur à l’appui du classement figure dans l’enregistrement de l’entretien incriminé. Quant à la validité du consentement donné à l’enregistrement, aucun élément au dossier ne permet de considérer que la recourante était dans une situation où il lui était difficile de refuser. Bien plutôt, à défaut de tout élément qui permettrait de retenir le contraire, elle pouvait parfaitement signifier à sa fille qu’elle refusait d’être enregistrée. Au demeurant, l’art. 179 ter CP n’exige pas le consentement préalable et exprès de la personne concernée, puisque ce consentement peut même être tacite (Corboz, Les infractions en droit suisse, vol. I, 3 e éd, Berne 2010, n. 4 ad art. 179 ter CP). La recourante invoque ensuite que, la caméra n’étant pas visible, elle était fondée à croire qu’il ne s’agissait que d’une mise en scène de la prévenue, soit d’une mystification ou encore d’un « bluff » (recours, ch. 3, p. 3, dernier par.). Elle considère en outre que, faute de toute information circonstanciée quant à l’emplacement de la caméra jusqu’à la découverte de l’enregistrement en novembre 2014, elle ne pouvait valablement consentir à l’enregistrement, soutenant ainsi que son consentement aurait été donné par erreur (recours, ch. 3, p. 4). Ces moyens semblent procéder d’une confusion avec la notion d’erreur essentielle consacrée en droit privé. Bien plutôt, ce qui est déterminant au pénal, c’est que l’auteur de l’enregistrement est fondé à se croire au bénéfice du consentement de la personne enregistrée. Tel est bien le cas en l’espèce. En effet, les termes « mais enregistre, tu peux tout enregistrer » sont dépourvus d’équivoque. En les entendant, la prévenue ne pouvait que penser qu’elle avait le consentement de la plaignante. Or, les deux infractions ici en cause sont intentionnelles (Corboz, op. cit., n. 5 ad art. 179 ter CP et n. 18 ad art. 179 quater CP). La négligence n’est dès lors pas réprimée pénalement en la matière. Partant, à supposer même qu’il n’y ait pas eu de consentement de la recourante, manquerait alors l’élément subjectif de l’infraction réprimée par l’art. 179 ter CP (applicable à la prise de son), respectivement par l’art. 179 quater CP (applicable à la prise de vues). Aucune mesure d’instruction complémentaire n’apparaît de nature à mener à une autre appréciation.</w:t>
      </w:r>
    </w:p>
    <w:p>
      <w:r>
        <w:rPr>
          <w:b/>
        </w:rPr>
        <w:t>E. 2.4</w:t>
      </w:r>
    </w:p>
    <w:p>
      <w:r>
        <w:t>Au vu de ce qui précède, force est de constater qu’en cas de renvoi en jugement de l’intimée, un acquittement serait plus probable qu’une condamnation.</w:t>
      </w:r>
    </w:p>
    <w:p>
      <w:r>
        <w:rPr>
          <w:b/>
        </w:rPr>
        <w:t>E. 3</w:t>
      </w:r>
    </w:p>
    <w:p>
      <w:r>
        <w:t>En définitive, le recours, manifestement mal fondé, doit être rejeté sans autres échanges d’écritures (art. 390 al. 2 CPP) et l'ordonnance du 26 août 2015 confirmée. La requête tendant à la désignation d’un conseil juridique gratuit pour la procédure devant la Cour de céans doit également être rejetée, le recours apparaissant d’emblée dénué de chances de succès (CREP 8 octobre 2015/640 consid. 4 et les références; CREP 4 mai 2015/304 consid. 3; CREP 19 mars 2012/244 consid. 3). Les frais de la procédure de recours, constitués en l'espèce de l'émolument d’arrêt, par 660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26 août 2015 est confirmée. III. La requête tendant à la désignation d’un conseil juridique gratuit pour la procédure de recours est rejetée. IV. Les frais de la procédure de recours, par 660 fr. (six cent soixante francs), sont mis à la charge de la recourante. V. L’arrêt est exécutoire. Le président :               Le greffier : Du Le présent arrêt, dont la rédaction a été approuvée à huis clos, est notifié, par l'envoi d'une copie complète, à : - Me Philippe Reymond, avocat (pour Z.________), - Me Kathrin Gruber, avocate (pour T.________),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