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179 vom 6. Februar 2016</w:t>
      </w:r>
    </w:p>
    <w:p>
      <w:r>
        <w:t>VD Tribunal cantonal, 2016-02-06, FR</w:t>
      </w:r>
    </w:p>
    <w:p>
      <w:r>
        <w:rPr>
          <w:b/>
        </w:rPr>
        <w:t xml:space="preserve">Quelle: </w:t>
      </w:r>
      <w:r>
        <w:t>https://mcp.opencaselaw.ch/entscheid/vd_findinfo_D_cision___2016___179</w:t>
      </w:r>
    </w:p>
    <w:p>
      <w:r>
        <w:t>FR: VD_FINDINFO Décision / 2016 / 179 du 6 février 2016</w:t>
      </w:r>
    </w:p>
    <w:p>
      <w:r>
        <w:t>IT: VD_FINDINFO Décision / 2016 / 179 del 6 febbraio 2016</w:t>
      </w:r>
    </w:p>
    <w:p>
      <w:pPr>
        <w:pStyle w:val="Heading2"/>
      </w:pPr>
      <w:r>
        <w:t>Regeste</w:t>
      </w:r>
    </w:p>
    <w:p>
      <w:r>
        <w:t>PLAINTE PÉNALE, DÉLAI LÉGAL | 31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Le recours doit être déposé par écrit (art. 396 al. 1 CPP). Comme toute requête écrite, il doit être signé (art. 110 al. 1 CPP).</w:t>
      </w:r>
    </w:p>
    <w:p>
      <w:r>
        <w:rPr>
          <w:b/>
        </w:rPr>
        <w:t>E. 1.3</w:t>
      </w:r>
    </w:p>
    <w:p>
      <w:r>
        <w:t>En l’espèce, le recours a été interjeté dans le délai légal auprès de l’autorité compétente par la partie plaignante qui a qualité pour recourir (art. 382 al. 1 CPP). Un nouvel exemplaire signé du recours ayant été adressé spontanément à la Cour, celui-ci est dès lors recevable.</w:t>
      </w:r>
    </w:p>
    <w:p>
      <w:r>
        <w:rPr>
          <w:b/>
        </w:rPr>
        <w:t>E. 2</w:t>
      </w:r>
    </w:p>
    <w:p>
      <w:r>
        <w:t>Le recourant soutient que les parties avaient convenu de ne pas porter plainte et que c’est douze jours seulement après avoir appris que B.B.________ avait déposé plainte contre lui qu’il a lui-même déposé plainte contre ce dernier.</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w:t>
      </w:r>
    </w:p>
    <w:p>
      <w:r>
        <w:rPr>
          <w:b/>
        </w:rPr>
        <w:t>E. 2.2</w:t>
      </w:r>
    </w:p>
    <w:p>
      <w:r>
        <w:t>Selon l’art. 31 CP, le droit de porter plainte se prescrit par trois mois. Le délai court du jour où l’ayant droit a connu l’auteur de l’infraction. Ce délai impératif de trois mois concerne uniquement les infractions poursuivies sur plainte. Le délai institué par l'art. 31 CP étant un délai de péremption, il ne peut être ni interrompu, ni prolongé (ATF 118 IV 325 consid. 2b). Selon la doctrine et la jurisprudence,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Bâle/Genève/Munich 2004, pp. 444 ss).</w:t>
      </w:r>
    </w:p>
    <w:p>
      <w:r>
        <w:rPr>
          <w:b/>
        </w:rPr>
        <w:t>E. 2.3</w:t>
      </w:r>
    </w:p>
    <w:p>
      <w:r>
        <w:t>En l’espèce, le moyen soulevé par le recourant n’est pas pertinent, une convention liant les parties ne pouvant interrompre le délai de trois mois de l’art. 31 CP. La seule question à examiner est celle de savoir si le dépôt de plainte du recourant est intervenu dans ce délai, dans la mesure où les infractions de lésions corporelles simples, voies de fait et injures ne se poursuivent que sur plainte. A cet égard, il ressort du dossier que le recourant a eu connaissance des infractions qui auraient été perpétrées et de leurs auteurs le 9 décembre 2014, étant précisé qu’un agent de police est intervenu sur les lieux de l’incident. La plainte pénale déposée le 21 avril 2015 par F.________ en relation avec les faits survenus le 9 décembre 2014 était donc tardive. L'ordonnance du Ministère public de ne pas entrer en matière sur cette plainte échappe donc à la critique.</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Ils seront compensés avec le montant de 550 fr. déjà versé par ce dernier à titre de sûretés (art. 383 al. 1 CPP et 7 TFIP). Par ces motifs, la Chambre des recours pénale prononce : I. Le recours est rejeté. II. L’ordonnance du 11 décembre 2015 est confirmée. III. Les frais d’arrêt, par 550 fr. (cinq cent cinquante francs), sont mis à la charge de F.________.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F.________, - Ministère public central, et communiqué à : - Mme la Procureure de l’arrondissement de Lausanne, - M. A.B.________, - M. B.B.________,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