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175 vom 10. März 2016</w:t>
      </w:r>
    </w:p>
    <w:p>
      <w:r>
        <w:t>VD Tribunal cantonal, 2016-03-10, FR</w:t>
      </w:r>
    </w:p>
    <w:p>
      <w:r>
        <w:rPr>
          <w:b/>
        </w:rPr>
        <w:t xml:space="preserve">Quelle: </w:t>
      </w:r>
      <w:r>
        <w:t>https://mcp.opencaselaw.ch/entscheid/vd_findinfo_D_cision___2016___175</w:t>
      </w:r>
    </w:p>
    <w:p>
      <w:r>
        <w:t>FR: VD_FINDINFO Décision / 2016 / 175 du 10 mars 2016</w:t>
      </w:r>
    </w:p>
    <w:p>
      <w:r>
        <w:t>IT: VD_FINDINFO Décision / 2016 / 175 del 10 marzo 2016</w:t>
      </w:r>
    </w:p>
    <w:p>
      <w:pPr>
        <w:pStyle w:val="Heading2"/>
      </w:pPr>
      <w:r>
        <w:t>Regeste</w:t>
      </w:r>
    </w:p>
    <w:p>
      <w:r>
        <w:t>DÉTENTION PROVISOIRE, RISQUE DE RÉCIDIVE, ACTE D'ORDRE SEXUEL AVEC UN ENFANT | 221 al. 1 let. c CPP (CH), 393 al. 1 let. c CPP (CH)</w:t>
      </w:r>
    </w:p>
    <w:p>
      <w:pPr>
        <w:pStyle w:val="Heading2"/>
      </w:pPr>
      <w:r>
        <w:t>Erwägungen</w:t>
      </w:r>
    </w:p>
    <w:p>
      <w:r>
        <w:rPr>
          <w:b/>
        </w:rPr>
        <w:t>E. 1</w:t>
      </w:r>
    </w:p>
    <w:p>
      <w:r>
        <w:t>.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En l’espèce, A.K.________ a admis, en tous les cas dans une large mesure, les faits qui lui sont reprochés, qui revêtent indéniablement une certaine gravité. L’existence d’indices suffisamment sérieux de culpabilité à son encontre ne fait ainsi pas de doute. Ce point n’est d’ailleurs pas contesté.</w:t>
      </w:r>
    </w:p>
    <w:p>
      <w:r>
        <w:rPr>
          <w:b/>
        </w:rPr>
        <w:t>E. 2.3.1</w:t>
      </w:r>
    </w:p>
    <w:p>
      <w:r>
        <w:t>Pour retenir un risque de récidive, le pronostic doit être très défavorable et les délits dont la réitération est redoutée doivent être graves (ATF 137 IV 84 consid. 4.5 ; ATF 135 I 71 consid. 2.3 ; ATF 133 I 270 consid. 2.2 et les arrêts cités; TF 1B_39/2013 du 14 février 2013 consid. 2.1;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TF 1B_39/2013 précité; CREP 10 mars 2016/171).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op.cit., n. 20 ad art. 221 CPP). La prévention du risque de récidive doit permettre de faire prévaloir l'intérêt à la sécurité publique sur la liberté personnelle du prévenu (ATF 137 IV 13 consid. 4.5). La détention provisoire et la détention pour des motifs de sûreté doivent être levées dès que des mesures de substitution (art. 237 CPP) permettent d’atteindre le même but (art. 212 al. 2 let. c CPP). Les mesures de substitution énumérées de manière non exhaustive à l’art. 237 CPP sont un succédané à la détention provisoire; elles poursuivent le même objectif – éviter la fuite, la récidive ou la collusion – tout en étant moins sévères; le tribunal doit les prononcer à la place de la détention provisoire ou pour des motifs de sûreté si elles permettent d’empêcher la concrétisation du risque (Schmocker, op. cit., n. 2 ad art. 237 CPP).</w:t>
      </w:r>
    </w:p>
    <w:p>
      <w:r>
        <w:rPr>
          <w:b/>
        </w:rPr>
        <w:t>E. 2.3.2</w:t>
      </w:r>
    </w:p>
    <w:p>
      <w:r>
        <w:t>Le recourant conteste l’existence d’un risque de récidive (art. 221 al. 1 let. c CPP). Il soutient, en substance, que les auteurs de l’expertise psychiatrique du 19 février 2016 ne l’ont rencontré qu’à trois reprises, pour des entretiens d’environ quarante-cinq minutes chacun, et auraient mal interprété certaines de ses déclara-tions, en particulier s’agissant de sa prise de conscience et des regrets qu’il a pu exprimer, qu’il dit être sincères; le recourant se réfère à l’avis de son médecin, le Dr [...], psychiatre, qui, dans son rapport médical du 1 er décembre 2015, relève « le caractère régulier du suivi de son patient et le réel souci de celui-ci de comprendre ce qui lui arrive et comment il a pu en arriver à de tels actes ». Le recourant, estimant avoir pris conscience de la gravité de ses actes, soutient que le suivi psychothéra-peutique en cours avec le Dr [...] – actuellement sur une base volontaire, mais dont la poursuite pourrait être ordonnée – serait suffisant pour éviter tout risque de récidive.</w:t>
      </w:r>
    </w:p>
    <w:p>
      <w:r>
        <w:rPr>
          <w:b/>
        </w:rPr>
        <w:t>E. 2.3.3</w:t>
      </w:r>
    </w:p>
    <w:p>
      <w:r>
        <w:t>Le rapport d’expertise du 19 février 2016, effectué par le Dr [...], médecin, et [...], psychologue, a été établi sur la base de trois entretiens avec A.K.________, les trois rapports médicaux figurant au dossier, le dossier médical du prénommé et les pièces du dossier pénal transmis aux praticiens. L’expertise est claire et motivée sur seize pages. Elle pose un diagnostic de troubles mixtes de la personnalité de type narcissique et histrionique et un trouble de la préfé-rence sexuelle de type pédophilique, présent chez l’expertisé depuis de nombreuses années. Les experts ont constaté que l’intéressé avait tendance à minimiser sa part de responsabilité, de même que la gravité de ses actes et de leurs conséquences sur les victimes, que ses remords paraissaient peu authentiques et qu’il manquait de lucidité quant à sa dangerosité potentielle et à la nécessité de soins sur le long terme. Les experts ont conclu de leurs observations que A.K.________ présentait un risque de récidive élevé, précisant avoir trouvé chez lui « les prédicteurs les plus fiables de la récidive sexuelle : la déviance structurée, la précocité des fantasmes sexuels déviants, l’existence des perturbations de la personnalité et des actes répétés sur des années ». Le recourant n’apporte aucun élément permettant de s’écarter des constatations et de l’appréciation faites par les experts. En revanche, les éléments figurant au dossier, y compris les plus récents, indiquent que A.K.________ semble loin d’avoir pris réellement conscience de la gravité et des conséquences de ses actes et qu’il tente effectivement de les minimiser. On relève, en particulier, certains propos tenus par l’intéressé lors de ses deux dernières auditions : le 27 octobre 2015, expliquant que sa fille B.K.________, âgée de trois ans, « jouait » avec son sexe alors qu’il était nu dans son lit, ce qu’il trouvait alors « anodin », le recourant indique qu’avec du recul, il comprenait qu’il avait été « trop soft » et qu’il aurait dû « gronder pour qu’elle comprenne », ajoutant que « quand B.K.________ veut quelque chose, elle arrive toujours à ses fins »; lors de son audition du 16 novembre 2015, s’agissant des attouchements qu’il a commis sur D.________, alors âgée de dix ans, le recourant parle de « gestes de tendresse », expliquant qu’il avait l’impression que « c’était le seul moyen de lui donner tout l’amour que je pouvais », ajoutant que c’est la jeune fille qui l’appelait chaque soir pour « que j’aille lui faire des gratouillettes » et qu’il n’avait « pas de souvenir que D.________ ait fait des gestes pour éviter que je la caresse ». Au vu des conclusions sans équivoque du rapport d’expertise, qu’il n’y a pas lieu de remettre en cause, force est de constater qu’il existe un risque de récidive élevé, étant précisé que le diagnostic posé laisse supposer que ce risque existe non seulement à l’égard des enfants dont A.K.________ vit aujourd’hui séparé, mais aussi de manière plus large à l’égard d’autres enfants. La mesure de substitution proposée par le recourant, consistant dans la poursuite de son suivi psychothérapeutique avec son médecin, le Dr [...], doit être considérée comme insuffisante à pallier ce risque. En effet, les constations faites par les experts une année après le début de la thérapie entreprise par le recourant en février 2015 indiquent que ce traitement n’a pas encore porté ses fruits et qu’il n’est en tous les cas pas suffisant, à ce stade, pour juguler le risque de récidive. Dans ce conditions, le maintien en détention provisoire du recourant se justifie.</w:t>
      </w:r>
    </w:p>
    <w:p>
      <w:r>
        <w:rPr>
          <w:b/>
        </w:rPr>
        <w:t>E. 2.4</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En l’espèce, le recourant est détenu depuis le 25 février 2016, soit un peu plus de trois semaines. Compte tenu de la gravité des infractions qui lui sont reprochées, le recourant s'expose à une peine d’une durée supérieure à celle de la détention provisoire subie à ce jour. Le principe de la proportionnalité demeure donc respecté.</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2 let. a CPP), fixés à 720 fr., plus la TVA par 57 fr. 60, soit 777 fr. 60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26 février 2016 est confirmée. III. L’indemnité allouée au défenseur d’office de A.K.________ est fixée à 777 fr. 60 (sept cent septante-sept francs et soixante centimes). IV. Les frais d’arrêt, par 990 fr. (neuf cent nonante francs), ainsi que l'indemnité allouée au défenseur d'office de A.K.________,  par 777 fr. 60 (sept cent septante-sept francs et soixante centimes), sont mis à la charge de ce dernier. V. Le remboursement à l'Etat de l'indemnité allouée au chiffre III ci-dessus sera exigible pour autant que la situation de A.K.________ se soit améliorée. VI. Le présent arrêt est exécutoire. Le président :               La greffière : Du Le présent arrêt, dont la rédaction a été approuvée à huis clos, est notifié, par l'envoi d'une copie complète, à : - Mme Paraskevi Krevvata, avocate (pour A.K.________), - Ministère public central, et communiqué à : ‑ Mme Stéphanie Baume, avocate (pour B.K.________), - Mme Coralie Devaud, avocate (pour D.________), - M. le Président du Tribunal des mesures de contrainte, - Mme le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