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170 vom 10. März 2016</w:t>
      </w:r>
    </w:p>
    <w:p>
      <w:r>
        <w:t>VD Tribunal cantonal, 2016-03-10, FR</w:t>
      </w:r>
    </w:p>
    <w:p>
      <w:r>
        <w:rPr>
          <w:b/>
        </w:rPr>
        <w:t xml:space="preserve">Quelle: </w:t>
      </w:r>
      <w:r>
        <w:t>https://mcp.opencaselaw.ch/entscheid/vd_findinfo_D_cision___2016___170</w:t>
      </w:r>
    </w:p>
    <w:p>
      <w:r>
        <w:t>FR: VD_FINDINFO Décision / 2016 / 170 du 10 mars 2016</w:t>
      </w:r>
    </w:p>
    <w:p>
      <w:r>
        <w:t>IT: VD_FINDINFO Décision / 2016 / 170 del 10 marzo 2016</w:t>
      </w:r>
    </w:p>
    <w:p>
      <w:pPr>
        <w:pStyle w:val="Heading2"/>
      </w:pPr>
      <w:r>
        <w:t>Regeste</w:t>
      </w:r>
    </w:p>
    <w:p>
      <w:r>
        <w:t>RISQUE DE COLLUSION, RISQUE DE RÉCIDIVE, PROLONGATION, DÉTENTION PROVISOIRE, SOUPÇON | 221 al. 1 let. b CPP (CH), 221 al. 1 let. c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la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 présent recours a été interjeté en temps utile et dans les formes prescrites (cf. art. 385 al. 1 CPP) par le détenu qui a qualité pour recourir (art. 382 CPP), de sorte qu’il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1B_408/2015 du 10 décembre 2015 consid. 2.2 ; TF 1B_348/2013 du 21 octobre 2013 consid. 2.1.1 ; Piquerez, Traité de procédure pénale suisse, 2 e éd., Zurich 2006, n. 845 ; Schmocker, op. cit., n. 8 ad art. 221 CPP, p. 1025 : Forster, in : Niggli/ Heer/Wiprächtiger [éd.], Basler Kommentar, Schweizerische Strafprozessordnung, 2e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 4.1 ; TF 1B_410/2010 du 23 décembre 2010 consid. 4.1 ; Forster, op. cit., n.</w:t>
      </w:r>
    </w:p>
    <w:p>
      <w:r>
        <w:rPr>
          <w:b/>
        </w:rPr>
        <w:t>E. 2.3</w:t>
      </w:r>
    </w:p>
    <w:p>
      <w:r>
        <w:t>Le recourant conteste l’existence des risques de collusion et de réitération retenus par le Tribunal des mesures de contrainte.</w:t>
      </w:r>
    </w:p>
    <w:p>
      <w:r>
        <w:rPr>
          <w:b/>
        </w:rPr>
        <w:t>E. 2.3.1</w:t>
      </w:r>
    </w:p>
    <w:p>
      <w:r>
        <w:t>S’agissant tout d’abord du risque de collusion, on relèvera que le maintien en détention provisoire se justifie notamment lorsqu’il y a sérieusement lieu de craindre que le prévenu compromette la recherche de la vérité en exerçant une influence sur des personnes ou en altérant des moyens de preuve (art. 221 al. 1 let. b CPP).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 cf. ATF 137 IV 122 consid. 6.2 et 6.4) –, vise à garantir la constatation exacte et complète des faits. En l’espèce, X.________ nie obstinément les accusations portées à son encontre et ses explications sont en contradiction avec celles des plaignants. A ce stade, on peut donc craindre qu’en cas de libération, le prévenu n’entrave l’instruction en cherchant à entrer en contact avec les plaignants en vue d’influencer leurs déclarations. Le maintien du recourant en détention se justifie donc à tout le moins jusqu’à ce que le Procureur ait pu procéder à une audition récapitulative, voire aux auditions de confrontation entre le prévenu et les différentes parties plaignantes. De surcroît, certains des véhicules dont le prévenu est soupçonné d’avoir disposé illégalement n’ont pas encore été localisés à ce jour et l’on peut craindre qu’en cas de libération, le prévenu ne tente de faire disparaitre des moyens de preuve relatifs à ces véhicules. Au vu de ces éléments, la recherche de la vérité pourrait être compromise par la libération du recourant et le risque de collusion justifie son maintien en détention provisoire.</w:t>
      </w:r>
    </w:p>
    <w:p>
      <w:r>
        <w:rPr>
          <w:b/>
        </w:rPr>
        <w:t>E. 2.3.2</w:t>
      </w:r>
    </w:p>
    <w:p>
      <w:r>
        <w:t>S’agissant du risque de réitération, l'art. 221 al. 1 let. c CPP prévoit que la détention provisoire peut être ordonnée lorsqu'il y a lieu de craindre que le prévenu compromette sérieusement la sécurité d'autrui par des crimes ou des délits graves après avoir déjà commis des infractions du même genre. 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(ATF 137 IV 84 consid. 3.2 ; TF 1B_249/2014 du 6 août 2014 consid. 3.2). Cependant, il convient de faire preuve de retenue dans l'appréciation du risque de récidive : le maintien en détention ne peut ainsi se justifier pour ce motif que si le pronostic est très défavorable et si les délits dont l'autorité redoute la réitération sont graves ATF 137 IV 84 consid. 3.2). Ainsi, une possibilité hypothétique de réitération, ainsi que la probabilité que des infractions de peu d'importance soient à nouveau perpétrées ne suffisent pas pour justifier la détention provisoire (ATF 135 I 71 consid. 2.3 p. 73). Un risque de récidive existe lorsqu'il y a sérieusement à craindre pour la vie et l'intégrité corporelle, mais également en cas d'infractions graves contre le patrimoine, telle l'escroquerie par métier (TF 1B_193/2015 du 17 juin 2015 consid. 2.1 et les arrêts cités). Un tel risque peut également se fonder sur les infractions faisant l'objet de la procédure pénale en cours, si le prévenu est fortement soupçonné – avec une probabilité confinant à la certitude – de les avoir commises (ATF 137 IV 84 consid. 3.2 p. 86 et les références citées). En l’espèce, le casier judiciaire du recourant fait état de neuf condamnations prononcées entre 2006 et 2013, dont une, en 2011, pour abus de confiance. Malgré ces premières condamnations – parfois à des peines privatives de liberté –, le recourant ne paraît pas avoir mis un terme à ses activités délictueuses. Au demeurant, ni l’ouverture de la présente instruction en septembre 2013, ni les auditions d’X.________ par le Ministère public en septembre 2013 et novembre 2014 ne semblent avoir eu davantage d’incidence sur le comportement délictueux du recourant qui n’aurait pris fin que le 2 septembre 2015, jour de son arrestation. Compte tenu du nombre et de la continuité dans laquelle s’inscrivent les possibles infractions reprochées au prévenu, la gravité de celles-ci doit manifestement être reconnue. Au vu de ces éléments, le maintien du recourant en détention provisoire est également justifié par l’existence d’un risque de réitération.</w:t>
      </w:r>
    </w:p>
    <w:p>
      <w:r>
        <w:rPr>
          <w:b/>
        </w:rPr>
        <w:t>E. 2.4</w:t>
      </w:r>
    </w:p>
    <w:p>
      <w:r>
        <w:t>Les conditions de l’art. 221 al. 1 CPP étant alternatives (TF 1B_249/2011 du 7 juin 2011 consid. 2.4), l’existence des risques de collusion et de réitération dispense d’examiner si la détention provisoire s’impose également en raison d’un risque de fuite invoqué par le Ministère public à l’appui de sa demande de prolongation.</w:t>
      </w:r>
    </w:p>
    <w:p>
      <w:r>
        <w:rPr>
          <w:b/>
        </w:rPr>
        <w:t>E. 2.5</w:t>
      </w:r>
    </w:p>
    <w:p>
      <w:r>
        <w:t>Quant aux mesures de substitution proposées par le recourant, elles ne paraissent pas en mesure de pallier aux risques de collusion et de réitération retenus. En effet, on ne saurait se satisfaire d’un simple engagement du prévenu de ne pas entrer en contact avec les plaignants ou d’entreprendre des démarches commerciales auprès de clients ou de collaborateurs pour pallier au risque de collusion. Quant aux autres mesures proposées, telles que le dépôt du passeport notamment, elles sont manifestement sans influence sur le risque de collusion.</w:t>
      </w:r>
    </w:p>
    <w:p>
      <w:r>
        <w:rPr>
          <w:b/>
        </w:rPr>
        <w:t>E. 3</w:t>
      </w:r>
    </w:p>
    <w:p>
      <w:r>
        <w:t>Le prévenu est détenu depuis le 2 septembre 2015, soit depuis un peu plus de six mois. Compte tenu des charges qui pèsent sur lui et de ses antécédents judiciaires, le prénommé s'expose à une peine privative de liberté d’une durée encore supérieure à celle de la détention provisoire subie à ce jour, respectivement à subir jusqu’au 4 juin 2016. Par conséquent, le principe de la proportionnalité demeure respecté (ATF 133 I 168 consid. 4.1 et les arrêts cités; ATF 132 I 21 consid. 4.1; TF 1B_411/2011 du 31 août 2011 consid. 4.1).</w:t>
      </w:r>
    </w:p>
    <w:p>
      <w:r>
        <w:rPr>
          <w:b/>
        </w:rPr>
        <w:t>E. 4</w:t>
      </w:r>
    </w:p>
    <w:p>
      <w:r>
        <w:t>Il résulte de ce qui précède que le recours, manifestement mal fondé, doit être rejeté sans autre échanges d’écritures (art. 390 al. 2 CPP) et l’ordonnance du 1 er mars 2016 confirmée. Les frais de la procédure de recours, constitués en l’espèce de l’émolument d’arrêt (art. 422 al. 1 CPP), par 880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 er mars 2016 est confirmée. III. Les frais d’arrêt, par 880 fr. (huit cent huitante francs) sont mis à la charge du recourant. IV. Le présent arrêt est exécutoire. Le président :               La greffière : Du Le présent arrêt, dont la rédaction a été approuvée à huis clos, est notifié, par l'envoi d'une copie complète, à : - M. X .________, - Me Sylvie Mathys, avocate, - Ministère public central, et communiqué à : ‑ Mme la Présidente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