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169 vom 10. März 2016</w:t>
      </w:r>
    </w:p>
    <w:p>
      <w:r>
        <w:t>VD Tribunal cantonal, 2016-03-10, FR</w:t>
      </w:r>
    </w:p>
    <w:p>
      <w:r>
        <w:rPr>
          <w:b/>
        </w:rPr>
        <w:t xml:space="preserve">Quelle: </w:t>
      </w:r>
      <w:r>
        <w:t>https://mcp.opencaselaw.ch/entscheid/vd_findinfo_D_cision___2016___169</w:t>
      </w:r>
    </w:p>
    <w:p>
      <w:r>
        <w:t>FR: VD_FINDINFO Décision / 2016 / 169 du 10 mars 2016</w:t>
      </w:r>
    </w:p>
    <w:p>
      <w:r>
        <w:t>IT: VD_FINDINFO Décision / 2016 / 169 del 10 marzo 2016</w:t>
      </w:r>
    </w:p>
    <w:p>
      <w:pPr>
        <w:pStyle w:val="Heading2"/>
      </w:pPr>
      <w:r>
        <w:t>Regeste</w:t>
      </w:r>
    </w:p>
    <w:p>
      <w:r>
        <w:t>RISQUE DE RÉCIDIVE, RISQUE DE FUITE, DÉTENTION PROVISOIRE, PROLONGATION | 221 al. 1 let. a CPP (CH), 221 al. 1 let. c CPP (CH), 221 CPP (CH)</w:t>
      </w:r>
    </w:p>
    <w:p>
      <w:pPr>
        <w:pStyle w:val="Heading2"/>
      </w:pPr>
      <w:r>
        <w:t>Erwägungen</w:t>
      </w:r>
    </w:p>
    <w:p>
      <w:r>
        <w:rPr>
          <w:b/>
        </w:rPr>
        <w:t>E. 1</w:t>
      </w:r>
    </w:p>
    <w:p>
      <w:r>
        <w:t>Aux termes de l’art. 393 al. 1 let. c CPP (Code de procédure pénale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RSV 312.01] ; art. 80 LOJV [Loi d’organisation judiciaire du 12 décembre 1979 ; RSV 173.01]). En l’espèce, le présent recours a été interjeté en temps utile et dans les formes prescrites (cf. art. 385 al. 1 CPP) par le prévenu qui a qualité pour recourir (art. 382 CPP), de sorte qu’il est recevable.</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ne doit pas durer plus longtemps que la peine privative de liberté prévisible (art. 212 al. 3 CPP).</w:t>
      </w:r>
    </w:p>
    <w:p>
      <w:r>
        <w:rPr>
          <w:b/>
        </w:rPr>
        <w:t>E. 2.2</w:t>
      </w:r>
    </w:p>
    <w:p>
      <w:r>
        <w:t>et les arrêts cités ; TF 1B_39/2013 du 14 février 2013 consid. 2.1 ; CREP 29 juillet 2014/519).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 TF 1B_39/2013 précité).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Commentaire romand, Code de procédure pénale suisse, Bâle 2011, n. 20 ad art. 221 CPP). La prévention du risque de récidive doit permettre de faire prévaloir l'intérêt à la sécurité publique sur la liberté personnelle du prévenu (ATF 137 IV 13 consid. 4.5).</w:t>
      </w:r>
    </w:p>
    <w:p>
      <w:r>
        <w:rPr>
          <w:b/>
        </w:rPr>
        <w:t>E. 3.1</w:t>
      </w:r>
    </w:p>
    <w:p>
      <w:r>
        <w:t>Le recourant remet en revanche en cause la réalisation d’un risque de réitération, soutenant en particulier que les trois mois passés en détention lui auraient déjà permis de bénéficier d’un « effet de prévention spéciale ».</w:t>
      </w:r>
    </w:p>
    <w:p>
      <w:r>
        <w:rPr>
          <w:b/>
        </w:rPr>
        <w:t>E. 3.2</w:t>
      </w:r>
    </w:p>
    <w:p>
      <w:r>
        <w:t>Pour retenir un risque de récidive, le pronostic doit être très défavorable et les délits dont la réitération est redoutée doivent être graves (ATF 137 IV 84 consid. 4.5 ; ATF 135 I 71 consid. 2.3 ; ATF 133 I 270 consid.</w:t>
      </w:r>
    </w:p>
    <w:p>
      <w:r>
        <w:rPr>
          <w:b/>
        </w:rPr>
        <w:t>E. 3.3</w:t>
      </w:r>
    </w:p>
    <w:p>
      <w:r>
        <w:t>En l’espère, pour les motifs qu’elle a déjà exposés dans son arrêt du 4 décembre 2015 (cf. consid. 2.3.3), la Cour de céans considère que le risque de réitération présenté par le recourant demeure concret. En effet, au regard des infractions qui font l’objet de l’enquête dirigée contre le prévenu, de sa consommation d’alcool problématique, des menaces de mort proférées, du fait qu’il n’a pas hésité à s’en prendre violemment à l’intégrité physique de plusieurs personnes, dont des agents des forces de l’ordre, et de sa tendance à minimiser la gravité des faits reprochés, on ne saurait retenir que la détention provisoire subie à ce jour ait exercé un effet de prévention suffisant pour dissuader le recourant de récidiver. Ce constat est renforcé par la condamnation du recourant par le Ministère public du canton de Fribourg en date du 26 novembre 2015 pour des faits similaires, qui se sont en partie déroulés le 10 septembre 2015, soit moins d’un mois avant la commission des infractions qui font l’objet de la présente enquête. Il y a également lieu de tenir compte du prononcé d’une sanction disciplinaire, sous forme de huit jours d’arrêts dont trois avec sursis, infligée au recourant le 3 février 2016 pour avoir menacé et insulté des agents de détention de la prison du Bois-Mermet. On relève au passage que, contrairement à ce que soutient le recourant, il n’y a pas lieu de remettre en cause le bien-fondé de cette sanction, prononcée par le directeur de l’établissement pénitentiaire précité sur la base de faits rapportés par des agents assermentés. Au vu de ce qui précède, le risque de réitération demeure concret et justifie le maintien du recourant en détention provisoire.</w:t>
      </w:r>
    </w:p>
    <w:p>
      <w:r>
        <w:rPr>
          <w:b/>
        </w:rPr>
        <w:t>E. 4</w:t>
      </w:r>
    </w:p>
    <w:p>
      <w:r>
        <w:t>Les conditions de l’art. 221 al. 1 CPP étant alternatives (TF 1B_249/2011 du 7 juin 2011 consid. 2.4), l’existence d’un risque de récidive dispense d’examiner si la détention provisoire s’impose également en raison d’un risque de fuite.</w:t>
      </w:r>
    </w:p>
    <w:p>
      <w:r>
        <w:rPr>
          <w:b/>
        </w:rPr>
        <w:t>E. 5.1</w:t>
      </w:r>
    </w:p>
    <w:p>
      <w:r>
        <w:t>Le recourant se plaint d’une violation du principe de la proportionnalité. Il fait valoir à cet égard qu’on lui reproche essentiellement des lésions corporelles simples de peu de gravité, qu’il est un jeune adulte, qu’il a exprimé des remords, qu’il pourrait bénéficier d’une réduction de peine pour conditions de détention illicites et qu’il était alcoolisé au moment des faits, ce dont il faudrait tenir compte dans l’appréciation de sa faute et dans la fixation de la peine. Le recourant se réfère en particulier à un arrêt rendu par la Cour d’appel pénale du Tribunal cantonal (CAPE 21 janvier 2013/16) concernant des faits prétendument similaires, par lequel une condamnation à trois mois de peine privative de liberté prononcée par le Tribunal de police avait été confirmée.</w:t>
      </w:r>
    </w:p>
    <w:p>
      <w:r>
        <w:rPr>
          <w:b/>
        </w:rPr>
        <w:t>E. 5.2</w:t>
      </w:r>
    </w:p>
    <w:p>
      <w:r>
        <w:t>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 ATF 133 I 168 consid. 4.1; ATF 132 I 21 consid. 4.1). Toutefois, le fait que la peine encourue puisse être assortie du sursis, total ou partiel, n'est pas déterminant sous l'angle de la proportionnalité (ATF 133 I 270 consid. 3.4.2).</w:t>
      </w:r>
    </w:p>
    <w:p>
      <w:r>
        <w:rPr>
          <w:b/>
        </w:rPr>
        <w:t>E. 5.3</w:t>
      </w:r>
    </w:p>
    <w:p>
      <w:r>
        <w:t>En l’espèce, le principe de l’individualisation de la peine rend hasardeuse toute comparaison directe avec l’arrêt cité par le recourant, qu’on ne saurait du reste en aucun cas considérer isolément. On constate en revanche que le recourant est fortement soupçonné d’avoir commis plusieurs actes répréhensibles (concours d’infractions) – dont notamment des violences contre les autorités et les fonctionnaires au sens de l’art. 285 CP, infraction passible d’une peine privative de liberté de trois ans – commis à diverses dates contre différentes victimes, en se montrant particulièrement agressif et violent. Dans de telles circonstances, il y a lieu de retenir que la durée de la détention provisoire du recourant apparaît encore proportionnée à la peine à laquelle il faut s’attendre en cas de condamnation.</w:t>
      </w:r>
    </w:p>
    <w:p>
      <w:r>
        <w:rPr>
          <w:b/>
        </w:rPr>
        <w:t>E. 6</w:t>
      </w:r>
    </w:p>
    <w:p>
      <w:r>
        <w:t>Il résulte de ce qui précède que le recours, manifestement mal fondé, doit être rejeté sans autres échanges d’écritures (art. 390 al. 2 CPP) et l’ordonnance du 23 février 2016 confirmée. Les frais de la procédure de recours, constitués en l’espèce de l’émolument d’arrêt (art. 422 al. 1 CPP), par 880 fr. (art. 20 al. 1 TFIP [tarif des frais de procédure et indemnités en matière pénale du 28 septembre 2010 ; RSV 312.03.1]), et des frais imputables à la défense d’office (art. 422 al. 1 et 2 let. a CPP), fixés à 540 fr., plus la TVA par 43 fr. 20, soit 583 fr. 20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23 février 2016 est confirmée. III. L'indemnité allouée au défenseur d'office de X.________ est fixée à 583 fr. 20 (cinq cent huitante trois francs et vingt centimes). IV. Les frais d’arrêt, par 990 fr. (neuf cent nonante francs), ainsi que l'indemnité allouée au défenseur d'office de X.________, par 583 fr. 20 (cinq cent huitante trois francs et vingt centimes), sont mis à la charge du prévenu. V. Le remboursement à l'Etat de l'indemnité allouée au chiffre III ci-dessus sera exigible pour autant que la situation de X.________ se soit améliorée. VI. Le présent arrêt est exécutoire. Le président :               Le greffier : Du Le présent arrêt, dont la rédaction a été approuvée à huis clos, est notifié, par l'envoi d'une copie complète, à : - Me Olivier Francioli, avocat (pour X.________), - Ministère public central ; et communiqué à : - Mme la Présidente du Tribunal des mesures de contrainte,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r>
        <w:rPr>
          <w:b/>
        </w:rPr>
        <w:t>E. 6.1</w:t>
      </w:r>
    </w:p>
    <w:p>
      <w:r>
        <w:t>Le recourant soutient que l’instauration d’une mesure de substitution sous la forme d’une stricte interdiction de boire de l’alcool serait propre à pallier le risque de réitération.</w:t>
      </w:r>
    </w:p>
    <w:p>
      <w:r>
        <w:rPr>
          <w:b/>
        </w:rPr>
        <w:t>E. 6.2</w:t>
      </w:r>
    </w:p>
    <w:p>
      <w:r>
        <w:t>Aux termes de l'art. 237 al. 1 CPP, le tribunal compétent ordonne une ou plusieurs mesures moins sévères en lieu et place de la détention si ces mesures permettent d'atteindre le même but que la détention. Les mesures de substitution énumérées à l’art. 237 CPP sont un succédané à la détention provisoire ou pour des motifs de sûreté; elles poursuivent le même objectif – éviter la fuite, la réitération ou la collusion – tout en étant moins sévères ; le tribunal doit les prononcer à la place de la détention provisoire ou pour des motifs de sûreté si elles permettent d’empêcher la concrétisation du risque (Schmocker, op. cit., n. 2 ad art. 237 CPP).</w:t>
      </w:r>
    </w:p>
    <w:p>
      <w:r>
        <w:rPr>
          <w:b/>
        </w:rPr>
        <w:t>E. 6.3</w:t>
      </w:r>
    </w:p>
    <w:p>
      <w:r>
        <w:t>En l’espèce, contrairement à ce que soutient le recourant, des mesures de substitution, sous la forme d’une interdiction de boire de l’alcool, n’apparaissent pas suffisantes pour éviter une réitération. L’abstinence forcée du recourant, du fait de sa détention, ne permet en effet pas encore de retenir qu’il se conformerait à une interdiction de boire de l’alcool, ce d’autant moins compte tenu du peu de respect dont le recourant fait preuve à l’égard de l’autorité. On relève par ailleurs qu’un hypothétique contrôle d’abstinence – pour lequel aucune démarche n’a été entreprise – ne permettrait pas de prévenir une récidive à temps. La mesure de substitution proposée par le recourant ne peut dès lors pas être retenue.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