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163 vom 25. Februar 2016</w:t>
      </w:r>
    </w:p>
    <w:p>
      <w:r>
        <w:t>VD Tribunal cantonal, 2016-02-25, FR</w:t>
      </w:r>
    </w:p>
    <w:p>
      <w:r>
        <w:rPr>
          <w:b/>
        </w:rPr>
        <w:t xml:space="preserve">Quelle: </w:t>
      </w:r>
      <w:r>
        <w:t>https://mcp.opencaselaw.ch/entscheid/vd_findinfo_D_cision___2016___163</w:t>
      </w:r>
    </w:p>
    <w:p>
      <w:r>
        <w:t>FR: VD_FINDINFO Décision / 2016 / 163 du 25 février 2016</w:t>
      </w:r>
    </w:p>
    <w:p>
      <w:r>
        <w:t>IT: VD_FINDINFO Décision / 2016 / 163 del 25 febbraio 2016</w:t>
      </w:r>
    </w:p>
    <w:p>
      <w:pPr>
        <w:pStyle w:val="Heading2"/>
      </w:pPr>
      <w:r>
        <w:t>Regeste</w:t>
      </w:r>
    </w:p>
    <w:p>
      <w:r>
        <w:t>CALOMNIE, DIFFAMATION, PROTECTION DE L'UNION CONJUGALE, ACTE DE PROCÉDURE | 173 CP, 174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Dans son ordonnance, la Procureure a considéré que certaines allégations de P.________ étaient bien attentatoires à l’honneur mais que les éléments constitutifs des infractions de calomnie et de diffamation n’étaient pas réalisés, notamment parce que les propos incriminés avaient été adressés, dans le cadre d’un conflit conjugal tendu, aux membres d’une autorité judiciaire, à même de faire la part des choses.</w:t>
      </w:r>
    </w:p>
    <w:p>
      <w:r>
        <w:rPr>
          <w:b/>
        </w:rPr>
        <w:t>E. 3.2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consid. 2.1.1; ATF 132 IV 112 consid. 2.1; ATF 128 IV 53 consid. 1a p. 57 s.).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surtout si les propos litigieux ne s’adressent qu’aux membres d’une autorité judiciaire, qui sont à même de faire la part des choses (Favre/Pellet/Stoudmann, Code pénal annoté, 3 e éd., Lausanne 2007, n. 1.14 ad art. 173 CP).</w:t>
      </w:r>
    </w:p>
    <w:p>
      <w:r>
        <w:rPr>
          <w:b/>
        </w:rPr>
        <w:t>E. 3.3</w:t>
      </w:r>
    </w:p>
    <w:p>
      <w:r>
        <w:t>En l’occurrence, dans son mémoire de réponse du 27 août 2015, P.________ accuse le recourant, père de leur enfant de 9 ans, d’avoir orchestré un avortement contre sa volonté et d’avoir été violent et insultant. Elle décrit ainsi un comportement moralement réprouvé. Certes, il faut être plus tolérant lorsque les propos sont allégués dans un contexte judiciaire et spécialement s’agissant d’un litige d’ordre conjugal. Toutefois, la teneur des allégations de P.________ dépasse les limites de l’admissible pour des allégations en justice et l’atteinte à l’honneur paraît ainsi réalisée à tout le moins sur le plan objectif, de sorte qu’une instruction pour calomnie, subsidiairement diffamation, doit être ouverte.</w:t>
      </w:r>
    </w:p>
    <w:p>
      <w:r>
        <w:rPr>
          <w:b/>
        </w:rPr>
        <w:t>E. 4</w:t>
      </w:r>
    </w:p>
    <w:p>
      <w:r>
        <w:t>En définitive, le recours de X.________ doit être admis et le dossier de la cause renvoyé au Ministère public de l’arrondissement de Lausanne pour qu’il procède dans le sens des considérants. Les frais de la procédure de recours, constitués en l'espèce du seul émolument d'arrêt, par 550 fr. (art. 422 al. 1 CPP et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18 novembre 2015 est annulée. III. Le dossier de la cause est renvoyé au Ministère public de l’arrondissement de Lausanne pour qu’il procède dans le sens des considérants.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Me Joëlle Zimmermann, avocate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