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159 vom 8. März 2016</w:t>
      </w:r>
    </w:p>
    <w:p>
      <w:r>
        <w:t>VD Tribunal cantonal, 2016-03-08, FR</w:t>
      </w:r>
    </w:p>
    <w:p>
      <w:r>
        <w:rPr>
          <w:b/>
        </w:rPr>
        <w:t xml:space="preserve">Quelle: </w:t>
      </w:r>
      <w:r>
        <w:t>https://mcp.opencaselaw.ch/entscheid/vd_findinfo_D_cision___2016___159</w:t>
      </w:r>
    </w:p>
    <w:p>
      <w:r>
        <w:t>FR: VD_FINDINFO Décision / 2016 / 159 du 8 mars 2016</w:t>
      </w:r>
    </w:p>
    <w:p>
      <w:r>
        <w:t>IT: VD_FINDINFO Décision / 2016 / 159 del 8 marzo 2016</w:t>
      </w:r>
    </w:p>
    <w:p>
      <w:pPr>
        <w:pStyle w:val="Heading2"/>
      </w:pPr>
      <w:r>
        <w:t>Regeste</w:t>
      </w:r>
    </w:p>
    <w:p>
      <w:r>
        <w:t>DÉFENSE D'OFFICE, CONTRAVENTION, CAS BÉNIN | 132 al. 2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Une décision par laquelle un tribunal de première instance refuse, avant ou pendant les débats, de nommer un défenseur d’office au prévenu est cependant susceptible de recours selon les art. 393 ss CPP, dans la mesure où un tel refus est de nature à causer un préjudice irréparable à l’intéressé (ATF 140 IV 202 consid. 2.2, SJ 2015 I 73 ; ATF 139 IV 113, JdT 2014 IV 30 ; CREP 2 juillet 2015/ 455; CREP 4 février 2015/90).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en temps utile (art. 396 al. 1 CPP) par la prévenue qui a qualité pour recourir (art. 382 al. 1 CPP), le recours est recevable.</w:t>
      </w:r>
    </w:p>
    <w:p>
      <w:r>
        <w:rPr>
          <w:b/>
        </w:rPr>
        <w:t>E. 2.1</w:t>
      </w:r>
    </w:p>
    <w:p>
      <w:r>
        <w:t>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Harari/Aliberti, op. cit., n. 33 ad art. 132 CPP, p. 554).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consid. 5.2; ATF 128 I 225 consid. 2.5.2; CREP 3 août 2011/291).</w:t>
      </w:r>
    </w:p>
    <w:p>
      <w:r>
        <w:rPr>
          <w:b/>
        </w:rPr>
        <w:t>E. 2.2</w:t>
      </w:r>
    </w:p>
    <w:p>
      <w:r>
        <w:t>En l’espèce, la recourante est prévenue de violation simple des règles de la circulation routière (art. 90 al. 1 LCR [Loi fédérale sur la circulation routière ; RS 741.01], l’accusation ayant retenu notamment une violation des art. 79 al. 1 OSR (marques régissant l’arrêt ou le stationnement des véhicules) et 41 al. 1bis OCR (chemins réservés aux piétons et trottoirs). L’art. 90 al. 1 LCR est une contravention, qui est passible d’une amende. Les faits reprochés à la recourante ne peuvent par conséquent être qualifiés de graves. Les faits, suffisamment établis, ne présentent en outre pas de difficultés particulières, s’agissant de parcage hors des cases de stationnement. Le handicap de la recourante ne l’empêche pas de se défendre utilement seule, comme l’atteste la teneur de son opposition du 19 novembre 2015 et de sa lettre à l’autorité intimée du 24 décembre 2015. Le seul problème réside dans le fait que l’intéressée ne maîtrise pas la langue française. Or cette difficulté est levée, la présidente ayant accepté de suspendre l’audience du 12 janvier 2016 pour faire intervenir un interprète. La cause étant simple et les faits dépourvus de gravité, l’une des conditions cumulatives de la défense d’office fait défaut et il n’y a pas lieu d’examiner la seconde, soit l’indigence de la recourante (art. 132 al. 1 let. b CPP). L’assistance d’un avocat n’étant pas nécessaire à la sauvegarde des intérêts de la recourante, c’est à juste titre que la présidente du tribunal d’arrondissement a refusé de lui désigner un défenseur d’office.</w:t>
      </w:r>
    </w:p>
    <w:p>
      <w:r>
        <w:rPr>
          <w:b/>
        </w:rPr>
        <w:t>E. 3</w:t>
      </w:r>
    </w:p>
    <w:p>
      <w:r>
        <w:t>En définitive, le recours doit être rejeté et le prononcé attaqué confirmé. Les frais de la procédure de recours, constitués en l’espèce du seul émolument d'arrêt (art. 422 al. 1 CPP), par 660 fr. (art. 20 al. 1 TFIP [Tarif des frais de procédure et indemnités en matière pénale du 28 septembre 2010; RSV 312.03.1]), seront mis à la charge de la recourante, qui succombe (art. 428 al. 1 CPP). Par ces motifs, la Chambre des recours pénale prononce : I. Le recours est rejeté. II. Le prononcé du 12 janvier 2016 est confirmé. III. Les frais d’arrêt, par 660 fr. (six cent soixante francs), sont mis à la charge de D.________. IV. Le présent arrêt est exécutoire. Le président :               Le greffier : Du Le présent arrêt, dont la rédaction a été approuvée à huis clos, est notifié, par l'envoi d'une copie complète, à : - Mme D.________, - Ministère public central, et communiqué à : - Mme la Présidente du Tribunal d’arrondissement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