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158 vom 3. März 2016</w:t>
      </w:r>
    </w:p>
    <w:p>
      <w:r>
        <w:t>VD Tribunal cantonal, 2016-03-03, FR</w:t>
      </w:r>
    </w:p>
    <w:p>
      <w:r>
        <w:rPr>
          <w:b/>
        </w:rPr>
        <w:t xml:space="preserve">Quelle: </w:t>
      </w:r>
      <w:r>
        <w:t>https://mcp.opencaselaw.ch/entscheid/vd_findinfo_D_cision___2016___158</w:t>
      </w:r>
    </w:p>
    <w:p>
      <w:r>
        <w:t>FR: VD_FINDINFO Décision / 2016 / 158 du 3 mars 2016</w:t>
      </w:r>
    </w:p>
    <w:p>
      <w:r>
        <w:t>IT: VD_FINDINFO Décision / 2016 / 158 del 3 marzo 2016</w:t>
      </w:r>
    </w:p>
    <w:p>
      <w:pPr>
        <w:pStyle w:val="Heading2"/>
      </w:pPr>
      <w:r>
        <w:t>Regeste</w:t>
      </w:r>
    </w:p>
    <w:p>
      <w:r>
        <w:t>INTÉRÊT JURIDIQUEMENT PROTÉGÉ | 382 al. 1 CPP (CH)</w:t>
      </w:r>
    </w:p>
    <w:p>
      <w:pPr>
        <w:pStyle w:val="Heading2"/>
      </w:pPr>
      <w:r>
        <w:t>Erwägungen</w:t>
      </w:r>
    </w:p>
    <w:p>
      <w:r>
        <w:rPr>
          <w:b/>
        </w:rPr>
        <w:t>E. 1</w:t>
      </w:r>
    </w:p>
    <w:p>
      <w:r>
        <w:t>Les parties peuvent attaquer une ordonnance de classement – assortie, le cas échéant, d’une décision de suspension –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et satisfaisant aux conditions de forme posées par la loi malgré une certaine confusion dans l’articulation des moyens soulevés (cf. art. 385 al. 1 CPP), le recours est recevable, sous réserve de la qualité pour recourir du prévenu (cf. ci-dessous).</w:t>
      </w:r>
    </w:p>
    <w:p>
      <w:r>
        <w:rPr>
          <w:b/>
        </w:rPr>
        <w:t>E. 2</w:t>
      </w:r>
    </w:p>
    <w:p>
      <w:r>
        <w:t>ad art. 382 CPP). La qualité pour recourir suppose un intérêt actuel et pratique à obtenir l'annulation de la décision attaquée (TF 1B_111/2010 du 7 mai 2010 consid. 1 et les arrêts cités; Ziegler/ Keller, in : Niggli/Heer/Wiprächtiger [éd.], Basler Kommentar, Schweizerische Strafprozessordnung, Jugendstrafprozessordnung, Art. 196-457 StPO – Art. 1-54 JStPO, 2 e éd., Bâle 2014, n. 2 ad art. 382 CPP; Calame, op. cit., n. 1 ad art. 382 CPP). Cet intérêt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op. cit., n. 4 ad art. 382 CPP; Lieber, in : Donatsch/Hansjakob/Lieber [éd.], Kommentar zur Schweizerischen Strafprozessordnung, 2 e éd., Zurich/Bâle 2014, nn. 8 et 9 ad art. 382 CPP; Piquerez/Macaluso, Procédure pénale suisse, 3 e éd., Genève/Zurich/Bâle 2011, nn. 1907 et 1910, avec n. infrapaginale 819). En revanche, la motivation de la décision, si elle peut violer le droit ou être défavorable à une partie, ne contient pas l'élément matériel caractéristique qu'est la conséquence juridique (Calame, op. cit.,  n. 4 ad art. 382 CPP; Lieber, op. cit., n. 9 ad art. 382 CPP). Elle n'est donc pas susceptible d'être entreprise par un recours (TF 4C.98/2007 du 29 avril 2008 consid. 3.1.1; TF 6P.42/2006 et 6S.82/2006 du 15 mai 2006 consid. 3.1; CREP 19 mars 2012/153; CREP 25 octobre 2011/438). L'intérêt au recours relève de la recevabilité et non du bien-fondé du recours (CREP du 3 août 2015/515; CREP 8 novembre 2011/498; Calame, op. cit., n. 3 ad art. 382 CPP).</w:t>
      </w:r>
    </w:p>
    <w:p>
      <w:r>
        <w:rPr>
          <w:b/>
        </w:rPr>
        <w:t>E. 2.1</w:t>
      </w:r>
    </w:p>
    <w:p>
      <w:r>
        <w:t>En vertu de l'art. 382 al. 1 CPP, toute partie qui a un intérêt juridiquement protégé à l'annulation ou à la modification d'une décision a qualité pour recourir contre celle-ci. Il découle de cette disposition que le recourant n’est au bénéfice d’un intérêt juridiquement protégé que s’il est directement atteint, c’est-à-dire lésé, dans ses droits par la décision attaquée (Calame, in : Kuhn/Jeanneret [éd.], Commentaire romand, Code de procédure pénale suisse, 2011, n.</w:t>
      </w:r>
    </w:p>
    <w:p>
      <w:r>
        <w:rPr>
          <w:b/>
        </w:rPr>
        <w:t>E. 2.2</w:t>
      </w:r>
    </w:p>
    <w:p>
      <w:r>
        <w:t>En l’espèce, il apparaît d’abord que le recourant ne conteste pas la suspension de la cause. Pour le reste, il demande « des explications et des excuses » pour l’injustice qu’il estime avoir subie, une « attestation de reconnaissance de [s]on innocence dans cette enquête » et des « dédommagements sur cette injustice ». Du moment qu’il a bénéficié d’un classement dûment motivé, il ne dispose pas d’un intérêt juridiquement protégé à l’annulation ou à la modification de la décision (art. 382 al. 1 CPP), soit du dispositif de l’ordonnance. Le recours est dès lors irrecevable sur ce point. Tout au plus le recourant aurait-il pu avoir un intérêt à demander une indemnisation au sens de l’art. 429 CPP. A cet égard, toutefois, il n’a pas dû recourir aux services d’un avocat, ce qui exclut toute indemnité pour les dépenses occasionnées par l'exercice raisonnable de ses droits de procédure selon l’art. 429 al. 1 let. a CPP. Au surplus, il n’apparaît pas qu’il ait subi des désagréments qui aillent au-delà de ce qui est inhérent à une procédure pénale de ce genre, de sorte qu’il ne saurait davantage prétendre à une réparation du tort moral subi en raison d'une atteinte particulièrement grave à sa personnalité au sens de l’art. 429 al. 1 let. c CPP (CREP du 15 janvier 2016/36 consid. 1.2). Son recours doit donc être rejeté à cet égard.</w:t>
      </w:r>
    </w:p>
    <w:p>
      <w:r>
        <w:rPr>
          <w:b/>
        </w:rPr>
        <w:t>E. 3</w:t>
      </w:r>
    </w:p>
    <w:p>
      <w:r>
        <w:t>En définitive, le recours, manifestement mal fondé, doit être rejeté, sans autres échanges d’écritures (art. 390 al. 2 CPP), dans la mesure où il est recevable, et l'ordonnance du 22 février 2016 confirmée. Les frais de la procédure de recours, constitués en l'espèce de l'émolument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Les frais d’arrêt, par 550 fr. (cinq cent cinquante francs), sont mis à la charge de O.________. III. L’arrêt est exécutoire. Le président :               Le greffier : Du Le présent arrêt, dont la rédaction a été approuvée à huis clos, est notifié, par l'envoi d'une copie complète, à : - M. O.________,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