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153 vom 3. März 2016</w:t>
      </w:r>
    </w:p>
    <w:p>
      <w:r>
        <w:t>VD Tribunal cantonal, 2016-03-03, FR</w:t>
      </w:r>
    </w:p>
    <w:p>
      <w:r>
        <w:rPr>
          <w:b/>
        </w:rPr>
        <w:t xml:space="preserve">Quelle: </w:t>
      </w:r>
      <w:r>
        <w:t>https://mcp.opencaselaw.ch/entscheid/vd_findinfo_D_cision___2016___153</w:t>
      </w:r>
    </w:p>
    <w:p>
      <w:r>
        <w:t>FR: VD_FINDINFO Décision / 2016 / 153 du 3 mars 2016</w:t>
      </w:r>
    </w:p>
    <w:p>
      <w:r>
        <w:t>IT: VD_FINDINFO Décision / 2016 / 153 del 3 marzo 2016</w:t>
      </w:r>
    </w:p>
    <w:p>
      <w:pPr>
        <w:pStyle w:val="Heading2"/>
      </w:pPr>
      <w:r>
        <w:t>Regeste</w:t>
      </w:r>
    </w:p>
    <w:p>
      <w:r>
        <w:t>DÉCISION D'IRRECEVABILITÉ, REJET DE LA DEMANDE |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w:t>
      </w:r>
    </w:p>
    <w:p>
      <w:r>
        <w:rPr>
          <w:b/>
        </w:rPr>
        <w:t>E. 1.2</w:t>
      </w:r>
    </w:p>
    <w:p>
      <w:r>
        <w:t>Interjeté dans le délai légal auprès de l’autorité compétente par la partie plaignante qui a qualité pour recourir (art. 382 al. 1 CPP), le recours est recevable.</w:t>
      </w:r>
    </w:p>
    <w:p>
      <w:r>
        <w:rPr>
          <w:b/>
        </w:rPr>
        <w:t>E. 2</w:t>
      </w:r>
    </w:p>
    <w:p>
      <w:r>
        <w:t>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 ATF 137 IV 285 consid. 2.5).</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et 2 al.</w:t>
      </w:r>
    </w:p>
    <w:p>
      <w:r>
        <w:rPr>
          <w:b/>
        </w:rPr>
        <w:t>E. 2.2</w:t>
      </w:r>
    </w:p>
    <w:p>
      <w:r>
        <w:t>En l’espèce, P.________ n’expose pas en quoi l’appréciation du Ministère public serait erronée, le recourant se contentant d’alléguer une nouvelle fois, dans son acte de recours, des faits déjà évoqués dans ses précédentes écritures. Au surplus, comme l’a justement relevé le Procureur général adjoint dans son ordonnance du 19 février 2016, on constate que le recourant se borne, dans le cadre de sa plainte pénale, à remettre en cause le bien-fondé de la mesure thérapeutique institutionnelle prononcée à son encontre le 5 février 2014, sans relever de manière précise et crédible des faits susceptibles de tomber sous le coup de la loi pénale.</w:t>
      </w:r>
    </w:p>
    <w:p>
      <w:r>
        <w:rPr>
          <w:b/>
        </w:rPr>
        <w:t>E. 2.3</w:t>
      </w:r>
    </w:p>
    <w:p>
      <w:r>
        <w:t>Les conditions posées par l’art. 310 al. 1 let. a CPP étant ainsi réunies, c’est à bon droit que le Procureur général adjoint a rendu une ordonnance de non-entrée en matière.</w:t>
      </w:r>
    </w:p>
    <w:p>
      <w:r>
        <w:rPr>
          <w:b/>
        </w:rPr>
        <w:t>E. 3</w:t>
      </w:r>
    </w:p>
    <w:p>
      <w:r>
        <w:t>En définitive, le recours, manifestement mal fondé, doit être rejeté sans autres échanges d’écritures (art. 390 al. 2 CPP), et l’ordonnance de non-entrée en matière du 19 février 2016 confirmée. Les frais de la procédure de recours, constitués en l’espèce du seul émolument d'arrêt (art. 422 al. 1 CPP), par 440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19 février 2016 est confirmée. III. Les frais d’arrêt, par 440 fr. (quatre cent quarante francs), sont mis à la charge du recourant. IV. Le présent arrêt est exécutoire. Le président :               Le greffier : Du Le présent arrêt, dont la rédaction a été approuvée à huis clos, est notifié, par l'envoi d'une copie complète, à : - M. P.________, - M. le Procureur général adjoint du canton de Vaud.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