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152 vom 9. März 2016</w:t>
      </w:r>
    </w:p>
    <w:p>
      <w:r>
        <w:t>VD Tribunal cantonal, 2016-03-09, FR</w:t>
      </w:r>
    </w:p>
    <w:p>
      <w:r>
        <w:rPr>
          <w:b/>
        </w:rPr>
        <w:t xml:space="preserve">Quelle: </w:t>
      </w:r>
      <w:r>
        <w:t>https://mcp.opencaselaw.ch/entscheid/vd_findinfo_D_cision___2016___152</w:t>
      </w:r>
    </w:p>
    <w:p>
      <w:r>
        <w:t>FR: VD_FINDINFO Décision / 2016 / 152 du 9 mars 2016</w:t>
      </w:r>
    </w:p>
    <w:p>
      <w:r>
        <w:t>IT: VD_FINDINFO Décision / 2016 / 152 del 9 marzo 2016</w:t>
      </w:r>
    </w:p>
    <w:p>
      <w:pPr>
        <w:pStyle w:val="Heading2"/>
      </w:pPr>
      <w:r>
        <w:t>Regeste</w:t>
      </w:r>
    </w:p>
    <w:p>
      <w:r>
        <w:t>DÉCISION D'IRRECEVABILITÉ | 310 CPP (CH)</w:t>
      </w:r>
    </w:p>
    <w:p>
      <w:pPr>
        <w:pStyle w:val="Heading2"/>
      </w:pPr>
      <w:r>
        <w:t>Erwägungen</w:t>
      </w:r>
    </w:p>
    <w:p>
      <w:r>
        <w:rPr>
          <w:b/>
        </w:rPr>
        <w:t>E. 1</w:t>
      </w:r>
    </w:p>
    <w:p>
      <w:r>
        <w:t>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Il est donc recevable à la forme.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JdT 2012 IV 160). Avant de rendre une ordonnance de non-entrée en matière, respectivement avant d'ouvrir formellement une instruction, le Ministère public peut ouvrir une enquête préliminaire, qui est limitée aux investigations de la police (art. 300 al. 1 et 306 s. CPP; TF 1B_67/2012 du 29 mai 2012 consid. 2.1 et 2.2 et la réf. cit.). Cette procédure préliminaire ne doit cependant pas dépasser le stade de l'investigation policière selon les art. 300 al. 1 et 306 s. CPP (arrêt précité, consid. 2.2; CREP du 25 août 2015/555 consid. 2.2; CREP 9 juin 2015/387; CREP 22 mai 2013/381 consid. 2b; cf. aussi TF 1B_111/2012 du 5 avril 2012 consid. 2.1).</w:t>
      </w:r>
    </w:p>
    <w:p>
      <w:r>
        <w:rPr>
          <w:b/>
        </w:rPr>
        <w:t>E. 2.2</w:t>
      </w:r>
    </w:p>
    <w:p>
      <w:r>
        <w:t>Comme déjà relevé, le procureur a recueilli des informations complémentaires auprès du plaignant (P. 9) et du prévenu (P. 19), quant à ce dernier sous la forme d’une invitation à déposer un rapport écrit au sens de l’art. 145 CPP. Ce faisant, il a procédé à des mesures d’instruction. Celles-ci sont relativement significatives. Il ne pouvait donc plus statuer par voie d’ordonnance de non-entrée en matière (arrêts précités au consid. 2.1 in fine ci-dessus), cela d’autant moins qu’il s’agissait d’une affaire financière pouvant être tenue pour grave au sens de la jurisprudence (ATF 137 IV 285 consid. 2.5). La seule motivation figurant dans l’ordonnance attaquée suffit à révéler la complexité de l’affaire. Ce motif commande à lui seul l’ouverture d’une instruction.</w:t>
      </w:r>
    </w:p>
    <w:p>
      <w:r>
        <w:rPr>
          <w:b/>
        </w:rPr>
        <w:t>E. 2.3</w:t>
      </w:r>
    </w:p>
    <w:p>
      <w:r>
        <w:t>Quoi qu’il en soit, le Procureur est tenu à l’ouverture d’une instruction pour un autre motif encore. Vu l’ampleur de l’affaire, ce motif implique de reprendre la motivation de l’ordonnance. Sachant que le prévenu n’avait pas respecté ses obligations contractuelles en ne remboursant pas intégralement ses prêteurs, à savoir le plaignant et sa société, le Procureur a considéré que ceux-ci avaient négligé de s’entourer de précautions élémentaires lors de l’octroi de ces prêts, étant ajouté que les ordres de transfert des fonds litigieux avaient même été donnés avant la signature des contrats de prêt. A cet égard, le magistrat a estimé que si réellement le paiement de l’arriéré fiscal de l’intimé représentait l’affectation initialement convenue par les parties, cette condition aurait manifestement été indiquée dans les contrats en question. Ainsi, pour le procureur, le prévenu, qui a respecté les premières échéances du plan de remboursement établi avec le plaignant et n’a pas trompé astucieusement le plaignant, a uniquement engagé sa responsabilité sur le plan civil. Cette analyse serait confirmée par les décisions pénales rendues à l’encontre d’ [...], dont il ressort que le prévenu a bien été trompé par la mise en scène astucieuse déployée par ce dernier et son complice. Le procureur est encore allé plus loin en relevant que le plaignant B.________ semblait avoir usé de la procédure pénale essentiellement pour servir ses intérêts civils et qu’on pouvait considérer « sans arbitraire » qu’il avait procédé avec légèreté et, par conséquent, lui imputer les frais de justice et mettre également à sa charge, en application de l’art. 420 CPP, l’indemnité allouée au prévenu selon l’art. 429 CPP. Il ressort pourtant des pièces produites que le recourant n’a pas donné les ordres de transfert avant la conclusion des contrats de prêt, soit avant que ces accords ne fussent parfaits. En effet, les instructions adressées par le prêteur à sa banque se réfèrent aux futurs contrats; en d’autres termes, elles étaient grevées de conditions à futur. En outre, le prêteur disposait de garanties contractuelles sous la forme de cessions de créances et d’une cession de fonds de commerce. Ce qui précède démontre, du moins en l’état, qu’il ne s’est pas engagé à la légère, moins encore qu’il aurait pu éviter son dommage avec la diligence requise. Le recourant relève également que l’affectation des prêts n’avait pas été mentionnée dans les contrats à la demande expresse du plaignant mais que ce but ressortirait clairement du contexte de cette affaire, de la raison d’être des prêts, de deux courriers et du propre aveu du prévenu (lettre de son conseil au procureur du 20 juillet 2015, P. 24). Cette argumentation n’est, en l’état, infirmée par aucun fait. Elle apparaît suffisamment crédible au présent stade de la procédure pour justifier de plus amples mesures d’instruction. Pour le reste, le fait que le prévenu Z.________ ait été victime d’agissements frauduleux de tiers n’exclut nullement qu’il ait lui-même caché délibérément au plaignant B.________ l’affectation prévue et extrêmement risquée des fonds. En entrant dans une opération aussi téméraire censée rapporter 30 % d’intérêts en 15 jours, le prévenu a d’emblée accepté l’éventualité de ne pas rembourser les prêts. Plusieurs indices, notamment l’absence de mention dans les contrats de l’affectation des prêts et le caviardage des indications de virement du 16 février 2011, pourraient en outre conduire à admettre l’existence d’une tromperie astucieuse (cf. art. 146 CP) et commise par dol éventuel. Le comportement de l’intimé est ainsi susceptible de tomber sous le coup de l’art. 146 CP, qui réprime l’escroquerie, ou, subsidiairement, de l’art. 138 CP, qui réprime l’abus de confiance. La non-entrée en matière repose ainsi sur des motifs qui n’emportent pas la conviction en l’état du dossier.</w:t>
      </w:r>
    </w:p>
    <w:p>
      <w:r>
        <w:rPr>
          <w:b/>
        </w:rPr>
        <w:t>E. 2.4</w:t>
      </w:r>
    </w:p>
    <w:p>
      <w:r>
        <w:t>Le recourant reproche également au procureur d’avoir violé son droit d’être entendu en refusant de procéder à son audition et à celle de l’avocat ayant participé à la conclusion des contrats de prêt, Me Heiko Schröder. Ces auditions auraient été selon lui déterminantes pour permettre au procureur d’être suffisamment renseigné quant au but des prêts et du caviardage des indications de virement. Vu les motifs qui précèdent, point n’est cependant besoin de statuer sur ce moyen.</w:t>
      </w:r>
    </w:p>
    <w:p>
      <w:r>
        <w:rPr>
          <w:b/>
        </w:rPr>
        <w:t>E. 3</w:t>
      </w:r>
    </w:p>
    <w:p>
      <w:r>
        <w:t>Il résulte de ce qui précède que le recours doit être admis. L’ordonnance du 13 octobre 2015 sera annulée et le dossier de la cause renvoyé au Ministère public central, division criminalité économique et entraide judiciaire, pour qu’il ouvre formellement une instruction. Les frais de la procédure de recours, constitués en l'espèce du seul émolument d'arrêt, par 990 fr. (art. 422 al. 1 CPP et 20 al. 1 TFIP [Tarif des frais de procédure et indemnités en matière pénale du 28 septembre 2010; RSV 312.03.1]), seront mis à la charge de l'intimé, qui succombe dès lors qu’il a conclu au rejet du recours (art. 428 al. 1 CPP). S’agissant des dépens réclamés par le recourant expressément à la charge de l’Etat,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13 octobre 2015 est annulée. III. Le dossier de la cause est renvoyé au Ministère public central, division criminalité économique et entraide judiciaire, pour qu’il procède dans le sens des considérants. IV. Les frais d’arrêt, par 990 fr. (neuf cent nonante francs), sont mis à la charge de Z.________. V. Le présent arrêt est exécutoire. Le président :               Le greffier : Du Le présent arrêt, dont la rédaction a été approuvée à huis clos, est notifié, par l'envoi d'une copie complète, à : - Me Alain Lévy, avocat (pour B.________), - Me Laurent Maire, avocat (pour Z.________),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