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150 vom 2. März 2016</w:t>
      </w:r>
    </w:p>
    <w:p>
      <w:r>
        <w:t>VD Tribunal cantonal, 2016-03-02, FR</w:t>
      </w:r>
    </w:p>
    <w:p>
      <w:r>
        <w:rPr>
          <w:b/>
        </w:rPr>
        <w:t xml:space="preserve">Quelle: </w:t>
      </w:r>
      <w:r>
        <w:t>https://mcp.opencaselaw.ch/entscheid/vd_findinfo_D_cision___2016___150</w:t>
      </w:r>
    </w:p>
    <w:p>
      <w:r>
        <w:t>FR: VD_FINDINFO Décision / 2016 / 150 du 2 mars 2016</w:t>
      </w:r>
    </w:p>
    <w:p>
      <w:r>
        <w:t>IT: VD_FINDINFO Décision / 2016 / 150 del 2 marzo 2016</w:t>
      </w:r>
    </w:p>
    <w:p>
      <w:pPr>
        <w:pStyle w:val="Heading2"/>
      </w:pPr>
      <w:r>
        <w:t>Regeste</w:t>
      </w:r>
    </w:p>
    <w:p>
      <w:r>
        <w:t>DÉTENTION PROVISOIRE, SOUPÇON, RISQUE DE FUITE, RISQUE DE COLLUSION | 221 CPP (CH), 228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la détention, autorise également le détenu, malgré une formulation peu claire, à attaquer devant l’autorité de recours une décision refusant la libération de la détention (CREP 12 février 2015/111 ; CREP 7 février 2011/14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le détenu qui a qualité pour recourir (art. 382 CPP), de sorte qu’il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2.1</w:t>
      </w:r>
    </w:p>
    <w:p>
      <w:r>
        <w:t>Le recourant, contestant toute implication dans le brigandage perpétré le 30 décembre 2015, fait grief au Tribunal des mesures de contrainte d’avoir retenu l’existence de soupçons suffisamment sérieux à son égard pour le maintenir en détention provisoire. En substance, il fait valoir que se fonder sur ses antécédents, l’expertise psychiatrique du 13 septembre 2013 et l’enquête pénale en cours pour actes préparatoires de brigandage serait contraire au droit, qu’il n’existerait pas d’indices suffisants permettant d’établir qu’il se serait vanté par téléphone d’avoir commis le brigandage en question et que le fait que le Ministère public n’ait pu confirmer les alibis qu’il a servis ne saurait être mis sa charge.</w:t>
      </w:r>
    </w:p>
    <w:p>
      <w:r>
        <w:rPr>
          <w:b/>
        </w:rPr>
        <w:t>E. 2.1.1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TF 1B_39/2014 du 11 février 2014 consid. 2.2).</w:t>
      </w:r>
    </w:p>
    <w:p>
      <w:r>
        <w:rPr>
          <w:b/>
        </w:rPr>
        <w:t>E. 2.1.2</w:t>
      </w:r>
    </w:p>
    <w:p>
      <w:r>
        <w:t>En l’espèce, le Tribunal des mesures de contrainte s’est fondé sur les nombreux antécédents judiciaires du recourant, les enquêtes en cours du prévenu, dont une pour actes préparatoires de brigandage, et l’expertise psychiatrique faisant état d’un risque de récidive élevé pour retenir qu’il existait des soupçons suffisants à son encontre. S’il est vrai qu’à lui seul, un antécédent similaire à celui qui lui est reproché n’est pas suffisant pour fonder des indices de culpabilité suffisants d’avoir commis une infraction, il peut s’agir d’un indice supplémentaire pouvant entrer en ligne de compte dans certains cas. Cela vaut d’autant plus lorsque, comme c’est le cas en l’espèce, le prévenu a de nombreux antécédents similaires dans plusieurs pays, qu’il a été condamné pour la même infraction moins de deux ans avant les faits, qu’une enquête était déjà en cours contre lui pour des actes préparatoires à l’infraction qui lui est reprochée et qu’un rapport d’expertise relativement récent indique qu’une récidive est non seulement possible, mais probable. Au demeurant, le Tribunal des mesures de contrainte s’est également basé sur d’autres éléments afin de retenir qu’il existait des soupçons suffisants de culpabilité à l’encontre du recourant. S’agissant du grief relatif à la mise en cause du recourant par Z.________, la cour de céans se réfère en premier lieu intégralement à son arrêt du 26 janvier 2016 et rappelle qu’il n’appartient en principe pas au juge de la détention de se prononcer sur le caractère exploitable d’un moyen de preuve litigieux et que les procès-verbaux d’audition des 3 et 22 janvier 2016 de la prénommée n’apparaissent pas d’emblée inexploitables. Quoi qu’il en soit, la cour de céans sera amenée à statuer prochainement sur cette question, dès lors que l’intéressé a déposé un recours le 19 février 2016 contre l’ordonnance de refus de retranchement de pièces du 16 février 2016, recours actuellement pendant. En ce qui concerne la mise en cause de la passagère du train à proprement parler, on rappellera que sa déposition est crédible lorsqu’elle indique que N.________ s’est vanté d’avoir participé au brigandage concerné, qu’elle a donné une description détaillée du prévenu et que cela a permis d’identifier ce dernier sur les images de vidéosurveillance du train et de l’appréhender. En outre, lors de son audition devant la police, le témoin avait rapporté que le recourant avait donné des détails sur le brigandage, en particulier lorsque ce dernier avait dit que les déguisements de peintre dont faisait état la presse ne correspondaient pas exactement à ceux que lui et les auteurs avaient utilisés lors de la commission de l’infraction (PVaud. 3, p. 2). Pour le reste, il y a lieu de se référer aux décisions précédemment rendues par la cour de céans et le Tribunal des mesures de contrainte. Au surplus, le recourant ne fait valoir aucun élément nouveau à l’appui de son recours. Par ailleurs, comme cela a également été relevé par le Tribunal des mesures de contrainte, les alibis que le prévenu a présentés n’ont pas été confirmés. Le recourant n’a en effet et en particulier pas été aperçu sur les images de vidéosurveillance de la station-service [...] de [...] au moment de la commission des faits. En définitive, comme l’a retenu à juste titre le Tribunal des mesures de contrainte, l’addition des éléments précités constitue un faisceau d’indices suffisants permettant de fonder, à ce stade de l’instruction, l’implication de N.________ dans le brigandage qualifié du 30 décembre 2015 et ainsi justifier son maintien en détention provisoire. Au demeurant, la cour de céans relève que le Tribunal des mesures de contrainte a expressément invité le Ministère public à s’assurer que les contrôles téléphoniques en cours, déterminants pour étayer ou non les soupçons qui pèsent sur le prévenu, soient exécutés sans désemparer.</w:t>
      </w:r>
    </w:p>
    <w:p>
      <w:r>
        <w:rPr>
          <w:b/>
        </w:rPr>
        <w:t>E. 2.2</w:t>
      </w:r>
    </w:p>
    <w:p>
      <w:r>
        <w:t>Le Tribunal des mesures de contrainte a considéré que les risques de fuite et de collusion étaient en l’espèce réalisés.</w:t>
      </w:r>
    </w:p>
    <w:p>
      <w:r>
        <w:rPr>
          <w:b/>
        </w:rPr>
        <w:t>E. 2.2.1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 En l’espèce, il convient de rappeler que le recourant, ressortissant français sans domicile fixe ni activité lucrative en Suisse, n’a aucune attache dans ce pays. Il est ainsi fortement à craindre qu’il ne cherche à se soustraire aux poursuites pénales engagées contre lui en se réfugiant à l’étranger ou en disparaissant dans la clandestinité. Dans ces circonstances, le risque de fuite est manifeste et s’oppose à la levée de sa détention provisoire, ce que le recourant ne conteste du reste pas.</w:t>
      </w:r>
    </w:p>
    <w:p>
      <w:r>
        <w:rPr>
          <w:b/>
        </w:rPr>
        <w:t>E. 2.2.2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 En l’espèce, les contrôles de traces ADN et des raccordements téléphoniques sont en cours. Ils ont pour objectif d’éclaircir les faits reprochés au recourant et d’identifier son ou ses complices présumés. Il est ainsi légitime de redouter que le recourant mette sa liberté à profit pour tenter de dissimuler le butin ou des moyens de preuves utiles à l’identification de son ou ses comparses et à l’établissement de la vérité. Le risque de collusion est patent, ce que le recourant ne conteste du reste pas dans son recours.</w:t>
      </w:r>
    </w:p>
    <w:p>
      <w:r>
        <w:rPr>
          <w:b/>
        </w:rPr>
        <w:t>E. 2.3</w:t>
      </w:r>
    </w:p>
    <w:p>
      <w:r>
        <w:t>Les conditions de l’art. 221 al. 1 CPP étant alternatives (TF 1B_249/2011 du 7 juin 2011 consid. 2.4), l’existence des risques de fuite et de collusion dispense d’examiner si la détention provisoire s’impose également en raison d’un risque de réitération.</w:t>
      </w:r>
    </w:p>
    <w:p>
      <w:r>
        <w:rPr>
          <w:b/>
        </w:rPr>
        <w:t>E. 2.4</w:t>
      </w:r>
    </w:p>
    <w:p>
      <w:r>
        <w:t>Pour le surplus, aucune mesure de substitution n’est propre à prévenir les risques constatés. Le recourant n’en propose du reste aucune à l’appui de son recours. N.________ est détenu depuis le 4 janvier 2016. Compte tenu de la gravité des faits qui lui sont reprochés, la détention provisoire demeure parfaitement proportionnée au regard de la peine qui est susceptible d’être prononcée à son encontre en cas de condamnation (art. 212 al. 3 CPP).</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N.________ ne sera toutefois exigible que pour autant que la situation économique de ce dernier se soit améliorée (art. 135 al. 4 CPP). Par ces motifs, la Chambre des recours pénale prononce : I. Le recours est rejeté. II. L’ordonnance du 23 février 2016 est confirmée. III. L’indemnité allouée au défenseur d’office de N.________ est fixée à 583 fr. 20 (cinq cent huitante-trois francs et vingt centimes). IV. Les frais d’arrêt, par 990 fr. (neuf cent nonante francs), ainsi que l’indemnité due au défenseur d’office de N.________, par 583 fr. 20 (cinq cent huitante-trois francs et vingt centimes), sont mis à la charge de ce dernier. V. Le remboursement à l'Etat de l'indemnité allouée au chiffre III ci-dessus ne sera exigible que pour autant que la situation économique de N.________ se soit améliorée. VI. Le présent arrêt est exécutoire. Le président :               Le greffier : Du Le présent arrêt, dont la rédaction a été approuvée à huis clos, est notifié, par l'envoi d'une copie complète, à : - Me Franck Tièche, avocat (pour N.________),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