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149 vom 29. Februar 2016</w:t>
      </w:r>
    </w:p>
    <w:p>
      <w:r>
        <w:t>VD Tribunal cantonal, 2016-02-29, FR</w:t>
      </w:r>
    </w:p>
    <w:p>
      <w:r>
        <w:rPr>
          <w:b/>
        </w:rPr>
        <w:t xml:space="preserve">Quelle: </w:t>
      </w:r>
      <w:r>
        <w:t>https://mcp.opencaselaw.ch/entscheid/vd_findinfo_D_cision___2016___149</w:t>
      </w:r>
    </w:p>
    <w:p>
      <w:r>
        <w:t>FR: VD_FINDINFO Décision / 2016 / 149 du 29 février 2016</w:t>
      </w:r>
    </w:p>
    <w:p>
      <w:r>
        <w:t>IT: VD_FINDINFO Décision / 2016 / 149 del 29 febbraio 2016</w:t>
      </w:r>
    </w:p>
    <w:p>
      <w:pPr>
        <w:pStyle w:val="Heading2"/>
      </w:pPr>
      <w:r>
        <w:t>Regeste</w:t>
      </w:r>
    </w:p>
    <w:p>
      <w:r>
        <w:t>FRAIS DE LA PROCÉDURE, CLASSEMENT DE LA PROCÉDURE, PLAIGNANT, MORT, PRÉVENU | 319 al. 1 CPP (CH), 427 al. 2 CPP (CH), 429 CPP (CH), 432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par des parties astreintes au paiement des frais ou d'une indemnité, qui ont qualité pour recourir (art. 382 al. 1 CPP), et satisfaisant aux conditions de forme posées par la loi (cf. art. 385 al. 1 CPP), le recours est recevable (cf. entre autres CREP 25 juin 2015/430).</w:t>
      </w:r>
    </w:p>
    <w:p>
      <w:r>
        <w:rPr>
          <w:b/>
        </w:rPr>
        <w:t>E. 2</w:t>
      </w:r>
    </w:p>
    <w:p>
      <w:r>
        <w:t>CPP et de lui refuser une indemnité en application de l’art. 430 al. 1 let. a CPP. La seule question qui se pose est donc de savoir si les frais de procédure et l’indemnité allouée au prévenu doivent être supportés par l’Etat ou par les parties plaignantes. Comme le décès du prévenu met fin à la poursuite pénale et constitue un empêchement définitif de procéder au sens de l’art. 319 al. 1 let. d CPP, il entraîne nécessairement le classement de la procédure. Il n’est ainsi pas envisageable de poursuivre une instruction pénale en procédant à des mesures d’instruction destinées à établir une éventuelle culpabilité du prévenu décédé. La question des frais et des indemnités doit donc être résolue sur la base du résultat de l’instruction au moment du décès du prévenu. La mise à la charge de la partie plaignante des frais selon l'art. 427 al. 2 CPP et de l’indemnité au prévenu selon l’art. 432 al. 2 CPP ne dépend pas du motif du classement. En cas de classement, quel qu’en soit le motif, la partie plaignante qui a provoqué l’ouverture de la poursuite pénale en déposant plainte pour des infractions qui ne sont poursuivies que sur plainte doit donc supporter les frais de procédure et l’indemnité allouée au prévenu lorsque ce dernier a droit à une telle indemnité et que – corollairement – les frais de procédure ne peuvent pas être mis à sa charge. Aucun motif d’équité ne justifie en l’espèce de s’écarter de la règle de l'art. 427 al. 2 CPP et de celle de l’art. 432 al. 2 CPP qui en constitue le pendant. En effet, les parties plaignantes ont déposé plainte pour des infractions à la LCD, soit pour des infractions qui se poursuivent sur plainte uniquement, en visant un intérêt avant tout civil. Vu l’orientation fondamentale de la LCD vers le droit civil (Message du Conseil fédéral relatif à la LCD, FF 1983 II 1037 ss, p. 1087), il est juste qu’une personne qui dépose plainte pénale en vue de défendre avant tout ses intérêts patrimoniaux privés supporte les frais – plutôt que l’Etat qui n’a en principe pas à supporter les frais liés à la poursuite d’intérêts particuliers – si elle choisit de recourir à la voie pénale accessoire (art. 23 LCD) plutôt qu’à la voie civile ordinaire (art. 9 ss LCD), dont elle devrait supporter les frais et dépens dans l’hypothèse où elle n’obtiendrait pas gain de cause.</w:t>
      </w:r>
    </w:p>
    <w:p>
      <w:r>
        <w:rPr>
          <w:b/>
        </w:rPr>
        <w:t>E. 2.1</w:t>
      </w:r>
    </w:p>
    <w:p>
      <w:r>
        <w:t>Les recourantes contestent la mise à leur charge des frais de procédure ainsi que de l’indemnité allouée à feu V.________. Elles soutiennent en substance que les frais n’auraient pas pu être mis à leur charge si le Ministère public n’avait pas rejeté leurs réquisitions de preuves (P. 19 et 38), lesquelles, selon elles, auraient, selon toute vraisemblance, permis de constater que les éléments constitutifs des infractions reprochées étaient réalisés et d’établir ainsi la culpabilité de feu V.________. Elles estiment que c’est à tort que l’autorité intimée a jugé que les conditions d’un classement au sens de l’art. 319 CPP étaient réalisées. Enfin, les recourantes soutiennent que la décision quant aux frais serait inopportune en ce sens que l’art. 427 al. 2 CPP a un caractère dispositif et que l’équité commanderait en l’espèce de s’en écarter.</w:t>
      </w:r>
    </w:p>
    <w:p>
      <w:r>
        <w:rPr>
          <w:b/>
        </w:rPr>
        <w:t>E. 2.2.1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Selon l’art. 430 al. 1 CPP, l'autorité pénale peut réduire ou refuser l'indemnité notamment si le prévenu a provoqué illicitement et fautivement l'ouverture de la procédure ou a rendu plus difficile la conduite de celle-ci.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6B_77/2013 du 4 mars 2013 consid. 2.4; CREP 19 février 2014/207). L’art. 430 al. 1 let. a CPP posant les mêmes conditions que l’art. 426 al.</w:t>
      </w:r>
    </w:p>
    <w:p>
      <w:r>
        <w:rPr>
          <w:b/>
        </w:rPr>
        <w:t>E. 2.2.2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du 18 juillet 2013 consid. 2.1). La jurisprudence a précisé que les frais de procédure ne peuvent être mis à la charge de la partie plaignante ayant déposé une plainte pénale qui, hormis le dépôt de la plainte, ne participe pas activement à la procédure, que dans des cas particuliers (ATF 138 IV 248 consid. 4.4.1, JdT 2013 IV 191 ; TF 6B_438/2013 précité consid. 2.1).</w:t>
      </w:r>
    </w:p>
    <w:p>
      <w:r>
        <w:rPr>
          <w:b/>
        </w:rPr>
        <w:t>E. 2.2.3</w:t>
      </w:r>
    </w:p>
    <w:p>
      <w:r>
        <w:t>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La jurisprudence résumée ci-dessus est donc applicable par analogie (TF 6B_438/2013 du 18 juillet 2013 consid. 3.1 ; cf. ATF 138 IV 248 consid. 5.3 in fine p. 257).</w:t>
      </w:r>
    </w:p>
    <w:p>
      <w:r>
        <w:rPr>
          <w:b/>
        </w:rPr>
        <w:t>E. 2.2.4</w:t>
      </w:r>
    </w:p>
    <w:p>
      <w:r>
        <w:t>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p. 254). A cet égard, il dispose d'un large pouvoir d'appréciation (TF 6B_438/2013 du 18 juillet 2013 consid. 2.1), de sorte que l’autorité de recours ne substitue qu'avec retenue sa propre appréciation à celle de l’autorité pénale, une telle intervention se justifiant si la décision s'écarte sans raison des règles établies par la doctrine et la jurisprudence, repose sur des faits qui, dans le cas particulier, ne devaient jouer aucun rôle, ou encore ne tient pas compte d'éléments qui auraient absolument dû être pris en considération, ou s’il s’agit de redresser un résultat manifestement injuste ou une iniquité choquante (cf. TF 6B_438/2013 du 18 juillet 2013 consid. 2.1).</w:t>
      </w:r>
    </w:p>
    <w:p>
      <w:r>
        <w:rPr>
          <w:b/>
        </w:rPr>
        <w:t>E. 2.3</w:t>
      </w:r>
    </w:p>
    <w:p>
      <w:r>
        <w:t>En l’espèce, comme on l’a vu, les recourantes auraient souhaité que le Ministère public poursuive l’instruction en donnant suite à leurs réquisitions de preuve, de manière à établir que le prévenu, malgré son décès, s’était rendu coupable des infractions dénoncées. Les recourantes ne soutiennent en revanche pas que, sur la base des résultats de l’instruction au moment du décès du prévenu, il aurait été possible de mettre les frais à la charge du prévenu en application de l’art. 426 al.</w:t>
      </w:r>
    </w:p>
    <w:p>
      <w:r>
        <w:rPr>
          <w:b/>
        </w:rPr>
        <w:t>E. 3</w:t>
      </w:r>
    </w:p>
    <w:p>
      <w:r>
        <w:t>En définitive, le recours, manifestement mal fondé, doit être rejeté sans autres échanges d’écritures (art. 390 al. 2 CPP) et l’ordonnance de classement du 28 janvier 2016 confirmée. Les frais de la procédure de recours, constitués en l’espèce du seul émolument d'arrêt (art. 422 al. 1 CPP), par 990 fr. (art. 20 al. 1 TFIP [tarif des frais de procédure et indemnités en matière pénale du 28 septembre 2010 ; RSV 312.03.1]), seront mis à la charge des recourantes, qui succombent (art. 428 al. 1 CPP), à parts égales et solidairement entre elles (art. 418 al. 1 et 2 CPP). Par ces motifs, la Chambre des recours pénale prononce : I. Le recours est rejeté. II. L’ordonnance du 28 janvier 2016 est confirmée. III. Les frais d’arrêt, par 990 fr. (neuf cent nonante francs), sont mis à la charge de N.________ SA et de J.________ SA, à part égales, soit par 495 fr. (quatre cent nonante-cinq francs) chacune, et solidairement entre elles. IV. Le présent arrêt est exécutoire. Le président :               Le greffier : Du Le présent arrêt, dont la rédaction a été approuvée à huis clos, est notifié, par l'envoi d'une copie complète, à : - Me Christophe Piguet, avocat (pour J.________ SA et N.________ SA), - Me Laurent Maire, avocat (pour feu V.________), - Ministère public central, et communiqué à : - Mme la Procureure de l’arrondissement de Lausanne, - Secrétariat d’Etat à l’économie,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