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141 vom 11. März 2016</w:t>
      </w:r>
    </w:p>
    <w:p>
      <w:r>
        <w:t>VD Tribunal cantonal, 2016-03-11, FR</w:t>
      </w:r>
    </w:p>
    <w:p>
      <w:r>
        <w:rPr>
          <w:b/>
        </w:rPr>
        <w:t xml:space="preserve">Quelle: </w:t>
      </w:r>
      <w:r>
        <w:t>https://mcp.opencaselaw.ch/entscheid/vd_findinfo_D_cision___2016___141</w:t>
      </w:r>
    </w:p>
    <w:p>
      <w:r>
        <w:t>FR: VD_FINDINFO Décision / 2016 / 141 du 11 mars 2016</w:t>
      </w:r>
    </w:p>
    <w:p>
      <w:r>
        <w:t>IT: VD_FINDINFO Décision / 2016 / 141 del 11 marzo 2016</w:t>
      </w:r>
    </w:p>
    <w:p>
      <w:pPr>
        <w:pStyle w:val="Heading2"/>
      </w:pPr>
      <w:r>
        <w:t>Regeste</w:t>
      </w:r>
    </w:p>
    <w:p>
      <w:r>
        <w:t>RÉCUSATION | 56 CPP (CH),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B.________ à l’encontre de la Procureure R.________ (art. 13 de la loi d’introduction du code de procédure pénale suisse du 19 mai 2009 [LVCPP]; RSV 312.01).</w:t>
      </w:r>
    </w:p>
    <w:p>
      <w:r>
        <w:rPr>
          <w:b/>
        </w:rPr>
        <w:t>E. 2.1</w:t>
      </w:r>
    </w:p>
    <w:p>
      <w:r>
        <w:t>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 Selon la jurisprudence,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Une appréciation divergente quant à la nécessité de procéder à une mesure d'instruction ne suffit en principe pas pour mettre en doute l'impartialité du procureur (ATF 138 IV 142 consid. 2.3 ; TF 1B_129/2014 du 16 mai 2014 consid. 2.3).</w:t>
      </w:r>
    </w:p>
    <w:p>
      <w:r>
        <w:rPr>
          <w:b/>
        </w:rPr>
        <w:t>E. 2.2</w:t>
      </w:r>
    </w:p>
    <w:p>
      <w:r>
        <w:t>En l’espèce, le requérant fait valoir que le procès-verbal d’audition de J.________ du 3 janvier 2016 (PV aud. 3) n’a pas été signé par l’inspecteur ayant fonctionné en qualité de greffier. Il reproche par ailleurs à la procureure de ne pas lui avoir permis d’assister à la seconde audition de J.________, d’exploiter le contenu de discussions « occultes » entre celle-ci et la police et d’avoir affirmé faussement, dans l’ordonnance de refus de retranchement de pièces du 16 février 2016, qu’il n’avait pas requis sa présence à l’audience du témoin J.________ du 22 janvier 2016. Il fait grief à la procureure de n’avoir rien entrepris pour identifier ou entendre la source confidentielle de la police s’agissant des actes préparatoires qui lui sont reprochés, de ne pas avoir vérifié, ainsi qu’il le demandait, sa présence au Sleep-in au moment de l’attaque du fourgon blindé et d’avoir versé au dossier des lettres qu’il avait adressées à son ancien conseil, à sa mère et à [...] (cf. P. 20, 21 et 37). Il se plaint encore que ceux avec qui il entretenait des relations personnelles (la mère de son enfant, une assistante sociale et un ami) aient systématiquement fait l’objet de perquisitions et aient été placées sous écoute téléphonique, ce qui constituerait une violation de sa sphère privée. Il reproche à la procureure de ne pas avoir instruit ses allégations relatives à ses automutilations et aux agressions dont il aurait été victime de la part de surveillants de la prison. Enfin, le requérant se plaint de ne pas avoir reçu les déterminations du Ministère public du 17 février 2016 relatives à sa demande de libération de la détention provisoire du 12 février 2016. Cela dénoterait un comportement « chicanier » de la procureure, qui manquerait d’objectivité et de recul. Dans son écriture du 1 er mars 2016, le requérant se réfère aux observations déposées par la procureure le 23 février 2016 dans la procédure devant le Tribunal fédéral, dans lesquelles cette dernière indique, s’agissant du premier témoignage de J.________, que le « procès-verbal original dont la copie caviardée a été versée au dossier est quant à lui muni de toutes les signatures ». Ce dernier grief se rapporte à l’exploitabilité dudit témoignage, question qui a été soumise tant au Tribunal fédéral (procédure relative à la détention provisoire du prévenu), qu’à la Chambre des recours pénale, s’agissant de l’ordonnance de refus de retranchement de pièces du 16 février 2016. Les griefs relatifs à une éventuelle connivence entre la police et le témoin J.________ ont été articulés à l’appui de la demande en retranchement de pièces du 12 février 2016 à laquelle la procureure a refusé de faire droit. Son ordonnance ayant été attaquée, la question relève au premier chef de l’autorité de recours, non du juge de la récusation. La procureure pouvait en outre, sans que cela constitue une marque de partialité, adopter une attitude plus orientée dans sa prise de position sur la demande de libération de la détention provisoire, car elle devait exposer en quoi, à ses yeux, consistaient les soupçons contre le prévenu (art. 228 al. 2 CPP). La procureure a par ailleurs précisé que, dans ce cadre, l’original du courrier adressé le 17 février 2016 au Tribunal des mesures de contrainte et la copie au défenseur du prévenu avaient été mis sous pli le même jour. Dans ses déterminations, la procureure a indiqué avoir découvert, à la lecture de la demande de récusation, les reproches de maltraitance formulés contre les agents de détention. La lettre du 11 janvier 2016, à laquelle le prévenu se réfère, fait état d’actes d’automutilation (P. 19), mais non d’actes de maltraitance. On relève en outre que l’état suicidaire du prévenu a été évalué le 9 février 2016 au CHUV, où il a séjourné du 10 au 11 février 2016 en raison d’une suspicion de méningite. La procureure a également expliqué que la source « confidentielle » n’avait pas été entendue parce que l’instruction ne portait pas sur d’éventuels actes préparatoires et que la détention provisoire était justifiée par d’autres éléments. S’agissant des lettres du requérant à des tiers qui ont été versées au dossier, la procureure a implicitement considéré que l’intérêt à la protection de la personnalité ne primait pas l’intérêt à la poursuite pénale (art. 264 al. 1 let. b CPP a contrario ). On ne saurait voir là aucune espèce de parti pris contre le prévenu. Enfin, la mise en détention provisoire du requérant a été confirmée par arrêt de la cour de céans du 26 janvier 2016. Au surplus et de manière générale, on ne discerne pas, dans la manière dont la procureure conduit son enquête, ordonnant certaines mesures d’instruction et en refusant d’autres, d’erreurs particulièrement lourdes ou répétées qui, constitutives de violations graves des devoirs du magistrat, pourraient fonder une suspicion de partialité. Finalement, et contrairement à ce que soutient le requérant dans son écriture du 8 mars 2016, la procureure n’avait pas forcément à répondre point par point à tous les griefs formulés dans la demande de récusation. En effet, comme on l’a vu, la plupart de ces griefs relèvent de la procédure de recours (exploitabilité de preuves notamment) ou concernent la manière de conduire la procédure pénale (refus de donner suite à des mesures d’instruction entre autres). Le requérant se plaint en particulier que la totalité des chefs d’inculpation ne lui aient pas été signifiés lors de son arrestation. Or, l’inculpation, telle que la prévoyait l’ancienne procédure pénale vaudoise, est inconnue du Code de procédure pénale suisse. De toute manière, le requérant a été informé, lors de sa première audition par la police et lors de l’audition d’arrestation, des faits qui lui étaient reprochés (PV aud. 4 et 6). Il résulte de ce qui précède qu’il n’existe aucun motif justifiant la récusation de la Procureure R.________.</w:t>
      </w:r>
    </w:p>
    <w:p>
      <w:r>
        <w:rPr>
          <w:b/>
        </w:rPr>
        <w:t>E. 3</w:t>
      </w:r>
    </w:p>
    <w:p>
      <w:r>
        <w:t>En définitive, la demande de récusation présentée le 22 février 2016 par B.________ contre la Procureure R.________ doit être rejetée. Les frais de la procédure de récusation, constitués en l’espèce de l’émolument de décision, par 880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requérant, conformément à l’art. 59 al. 4, 2 e phrase CPP. Le remboursement à l’Etat de l’indemnité allouée au défenseur d’office de B.________ ne sera exigible que pour autant que la situation économique de ce dernier se soit améliorée. Par ces motifs, la Chambre des recours pénale prononce : I. La demande de récusation présentée le 22 février 2016 par B.________ contre la Procureure R.________ est rejetée. II. L’indemnité allouée au défenseur d’office de B.________ est fixée à 583 fr. 20 (cinq cent huitante-trois francs et vingt centimes). III. Les frais de la décision, par 880 fr. (huit cent huitante francs), ainsi que l’indemnité due au défenseur d’office de B.________, par 583 fr. 20 (cinq cent huitante-trois francs et vingt centimes), sont mis à la charge de ce dernier. IV. Le remboursement à l’Etat de l’indemnité allouée au chiffre II ci-dessus ne sera exigible que pour autant que la situation économique de B.________ se soit améliorée. V. La présente décision est exécutoire. Le président :               Le greffier : Du La présente décision, dont la rédaction a été approuvée à huis clos, est notifiée, par l'envoi d'une copie complète, à : - Me Frank Tièche, avocat (pour B.________),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