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14 vom 7. Januar 2016</w:t>
      </w:r>
    </w:p>
    <w:p>
      <w:r>
        <w:t>VD Tribunal cantonal, 2016-01-07, FR</w:t>
      </w:r>
    </w:p>
    <w:p>
      <w:r>
        <w:rPr>
          <w:b/>
        </w:rPr>
        <w:t xml:space="preserve">Quelle: </w:t>
      </w:r>
      <w:r>
        <w:t>https://mcp.opencaselaw.ch/entscheid/vd_findinfo_D_cision___2016___14</w:t>
      </w:r>
    </w:p>
    <w:p>
      <w:r>
        <w:t>FR: VD_FINDINFO Décision / 2016 / 14 du 7 janvier 2016</w:t>
      </w:r>
    </w:p>
    <w:p>
      <w:r>
        <w:t>IT: VD_FINDINFO Décision / 2016 / 14 del 7 gennaio 2016</w:t>
      </w:r>
    </w:p>
    <w:p>
      <w:pPr>
        <w:pStyle w:val="Heading2"/>
      </w:pPr>
      <w:r>
        <w:t>Regeste</w:t>
      </w:r>
    </w:p>
    <w:p>
      <w:r>
        <w:t>RISQUE DE COLLUSION | 221 al. 1 let. b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2.2</w:t>
      </w:r>
    </w:p>
    <w:p>
      <w:r>
        <w:t>La mise en détention provisoire n’est possible que s’il existe à l’égard de l’auteur présumé, et préalablement à toute autre cause, de graves soupçons de culpabilité d’avoir commis un crime ou un délit. A juste titre, le prévenu ne nie pas les soupçons pesant sur lui. Ceux-ci sont amplement étayés, notamment, par la drogue saisie dans son véhicule et à son domicile, ainsi que par le fait que le prévenu est mis en cause par neuf consommateurs de produits stupéfiants pour avoir vendu un peu moins de 250 grammes de cocaïne (PV aud. 3, 4, 6-9 et 11-13), et ce depuis 2013 déjà. Ces éléments suffisent à étayer un trafic d’ampleur significative, abstraction faite de l’importante somme en devise étrangère que détenait le prévenu. La condition préalable au maintien du prévenu en détention provisoire demeure dès lors réalisée.</w:t>
      </w:r>
    </w:p>
    <w:p>
      <w:r>
        <w:rPr>
          <w:b/>
        </w:rPr>
        <w:t>E. 2.3</w:t>
      </w:r>
    </w:p>
    <w:p>
      <w:r>
        <w:t>Le Tribunal des mesures de contrainte a considéré que le risque de collusion, retenu dans ses précédentes ordonnances déjà, restait réalisé dans le cas particulier, ce que le recourant conteste. Le premier juge a ajouté que ces motifs en faveur de la détention provisoire le dispensaient de statuer sur le risque de fuite également invoqué par le ministère public.</w:t>
      </w:r>
    </w:p>
    <w:p>
      <w:r>
        <w:rPr>
          <w:b/>
        </w:rPr>
        <w:t>E. 2.3.1</w:t>
      </w:r>
    </w:p>
    <w:p>
      <w:r>
        <w:t>Le motif de détention avant jugement prévu par l'art. 221 al. 1 let. b CPP vise à garantir la constatation exacte et complète des faits, comme on le verra plus en détail ci-dessous. Le maintien en détention provisoire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op. cit., ibid.; cf.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consid. 3.2; TF 1B_79/2012 du 22 février 2012, consid. 5.1; TF 1B_55/2010 du 11 mars 2010 consid. 3.1 et les références citées).</w:t>
      </w:r>
    </w:p>
    <w:p>
      <w:r>
        <w:rPr>
          <w:b/>
        </w:rPr>
        <w:t>E. 2.3.2</w:t>
      </w:r>
    </w:p>
    <w:p>
      <w:r>
        <w:t>Alors que le Ministère public invoquait les risques de fuite et de collusion, le Tribunal des mesures de contrainte a retenu l’existence d’un risque de collusion, exposant que « celui-ci demeure concret au regard des investigations financières encore à effectuer et au vu des explications incomplètes et peu convaincantes données à ce jour par le prévenu ». On peut concéder au recourant (recours, pp. 8-9) que l’on ne discerne pas très bien en quoi le seul fait qu’il ait donné des explications peu convaincantes sur ce que le procureur tient pour une implication dans un important trafic de cocaïne (demande de prolongation du Ministère public du 21 décembre 2015, p. 2) et qu’il doive être réentendu par les enquêteurs à la fin du mois de janvier 2016 avant le dépôt du rapport final (demande de prolongation du Ministère public du 21 décembre 2015, p. 2 en haut) fonderait un risque de collusion. En effet, l’audition des personnes identifiées par les contrôles téléphoniques rétroactifs a eu lieu et on ne voit pas que ces témoignages pourraient désormais être influencés. En revanche, il reste des investigations financières à effectuer, qui visent, d’une part, à élucider la provenance des sommes de 7'000 fr. et 3'000 USD retrouvées au domicile du prévenu et, d’autre part, à clarifier les transferts d’argent effectués à l’étranger par le prévenu (demande de prolongation du Ministère public du 21 décembre 2015, p. 1 en bas). La libération du prévenu pourrait compromettre la recherche de la vérité à cet égard, étant rappelé que le risque d’altération des moyens de preuve que vise à prévenir l’art. 221 al. 1 let. b CPP ne concerne pas seulement les faits reprochés au prévenu sous l’angle des éléments constitutifs de l’infraction, respectivement de la condamnation à une peine ou mesure, mais aussi sous l’angle de la possibilité de prononcer une confiscation (CREP 30 octobre 2015/680 consid. 2.3). La détention provisoire est ainsi encore justifiée par le risque de collusion, qu’aucune mesure de substitution (cf. l’art. 237 al. 1 et 2 CPP) n’est propre à prévenir. Au vu de ce qui précède, le risque de collusion est réalisé.</w:t>
      </w:r>
    </w:p>
    <w:p>
      <w:r>
        <w:rPr>
          <w:b/>
        </w:rPr>
        <w:t>E. 2.4</w:t>
      </w:r>
    </w:p>
    <w:p>
      <w:r>
        <w:t>La détention provisoire étant d’ores et déjà justifiée par le risque de collusion, il n’est pas nécessaire d’examiner l'existence d’un risque de fuite (cf. art. 221 al. 1 let. a CPP). En effet, les conditions légales de la détention provisoire sont alternatives, et non cumulatives (TF 1B_249/2011 du 7 juin 2011 consid. 2.4).</w:t>
      </w:r>
    </w:p>
    <w:p>
      <w:r>
        <w:rPr>
          <w:b/>
        </w:rPr>
        <w:t>E. 3</w:t>
      </w:r>
    </w:p>
    <w:p>
      <w:r>
        <w:t>Concernant le respect du principe de la proportionnalité, le prévenu est détenu depuis le 8 octobre 2015, soit depuis trois mois. Compte tenu des charges qui pèsent sur lui, il s'expose à une peine privative de liberté d’une durée encore supérieure à celle de la détention provisoire subie à ce jour, respectivement à subir jusqu’au 8 mars 2016. Par conséquent, le principe de la proportionnalité demeure respecté (ATF 133 I 168 consid. 4.1 et les arrêts cités; ATF 132 I 21 consid. 4.1; TF 1B_411/2011 du 31 août 2011 consid. 4.1).</w:t>
      </w:r>
    </w:p>
    <w:p>
      <w:r>
        <w:rPr>
          <w:b/>
        </w:rPr>
        <w:t>E. 4</w:t>
      </w:r>
    </w:p>
    <w:p>
      <w:r>
        <w:t>En définitive, le recours, manifestement mal fondé, doit être rejeté sans autre échange d’écritures (art. 390 al. 2 CPP) et l'ordonnance du 23 décembre 2015 confirmée. Les frais de la procédure de recours, constitués en l’espèce de l'émolument d'arrêt (art. 422 al. 1 CPP), par 880 fr. (art. 20 al. 1 TFIP [tarif des frais de procédure et indemnités en matière pénale du 28 septembre 2010; RSV 312.03.1]), et des frais imputables à la défense d'office du recourant (art. 422 al. 1 et 2 let. a CPP), fixés à 630 fr. plus la TVA par 50 fr. 40, soit 680 fr. 40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23 décembre 2015 est confirmée. III. L'indemnité allouée au défenseur d'office du recourant est fixée à 680 fr. 40 (six cent huitante francs et quarante centimes). IV. Les frais du présent arrêt, par 880 fr. (huit cent huitante francs), ainsi que l'indemnité due au défenseur d'office du recourant, par 680 fr. 40 (six cent huitante francs et quarante centimes), sont mis à la charge de ce dernier. V. Le remboursement à l'Etat de l'indemnité allouée au chiffre III ci-dessus sera exigible pour autant que la situation du recourant se soit améliorée. VI. Le présent arrêt est exécutoire. Le président :               Le greffier : Du Le présent arrêt, dont la rédaction a été approuvée à huis clos, est notifié, par l'envoi d'une copie complète, à : - Me Julien Perrin, avocat (pour P.________), - Ministère public central, et communiqué à : ‑ M. le Procureur du Ministère public cantonal STRADA, - Mme la Présidente du Tribunal des mesures de contrainte,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