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137 vom 25. Februar 2016</w:t>
      </w:r>
    </w:p>
    <w:p>
      <w:r>
        <w:t>VD Tribunal cantonal, 2016-02-25, FR</w:t>
      </w:r>
    </w:p>
    <w:p>
      <w:r>
        <w:rPr>
          <w:b/>
        </w:rPr>
        <w:t xml:space="preserve">Quelle: </w:t>
      </w:r>
      <w:r>
        <w:t>https://mcp.opencaselaw.ch/entscheid/vd_findinfo_D_cision___2016___137</w:t>
      </w:r>
    </w:p>
    <w:p>
      <w:r>
        <w:t>FR: VD_FINDINFO Décision / 2016 / 137 du 25 février 2016</w:t>
      </w:r>
    </w:p>
    <w:p>
      <w:r>
        <w:t>IT: VD_FINDINFO Décision / 2016 / 137 del 25 febbraio 2016</w:t>
      </w:r>
    </w:p>
    <w:p>
      <w:pPr>
        <w:pStyle w:val="Heading2"/>
      </w:pPr>
      <w:r>
        <w:t>Regeste</w:t>
      </w:r>
    </w:p>
    <w:p>
      <w:r>
        <w:t>DÉTENTION PROVISOIRE |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C.________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 recourant ne conteste pas, à raison, l'existence de soupçons suffisants de culpabilité justifiant sa mise en détention provisoire. Il indique dans son recours que cette question ne fait l’objet d’aucune discussion dès lors qu’il admet les gestes qui lui sont reprochés.</w:t>
      </w:r>
    </w:p>
    <w:p>
      <w:r>
        <w:rPr>
          <w:b/>
        </w:rPr>
        <w:t>E. 3.1</w:t>
      </w:r>
    </w:p>
    <w:p>
      <w:r>
        <w:t>Le recourant conteste en revanche présenter un risque de réitération. Il soutient en substance qu’il n’aurait jamais pris la peine de se défendre dans le cadre de ses précédentes condamnations. Il ajoute qu’au moment des faits, il se serait comporté de manière respectueuse envers les différents intervenants, à savoir notamment les agents de police et le chauffeur de taxi, indiquant que l’attitude oppositionnelle qu’il aurait adoptée lors de son arrestation serait due à son état général d’excitation.</w:t>
      </w:r>
    </w:p>
    <w:p>
      <w:r>
        <w:rPr>
          <w:b/>
        </w:rPr>
        <w:t>E. 3.2</w:t>
      </w:r>
    </w:p>
    <w:p>
      <w:r>
        <w:t>Le maintien en détention ne peut se justifier en raison d’un risque de réitération que si le pronostic est très défavorable et si les délits dont l'autorité redoute la réitération sont graves (ATF 137 IV 84 consid. 4.5, JdT 2011 IV 325 ; ATF 135 I 71 consid. 2.3 ; ATF 133 I 270 consid. 2.2 et les arrêts cités, JdT 2011 IV 3 ; TF 1B_39/2013 du 14 février 2013 consid.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(ATF 137 IV 13 consid. 4.5 ; TF 1B_731/2011 du 16 janvier 2012 consid. 3.1).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Commentaire romand, Code de procédure pénale suisse, Bâle 2011, n. 20 ad art. 221 CPP). La jurisprudence se montre moins sévère dans l'exigence de la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consid. 2e).</w:t>
      </w:r>
    </w:p>
    <w:p>
      <w:r>
        <w:rPr>
          <w:b/>
        </w:rPr>
        <w:t>E. 3.3</w:t>
      </w:r>
    </w:p>
    <w:p>
      <w:r>
        <w:t>En l'espèce, outre les violences commises par le recourant à l’égard de sa concubine qui paraissent durer depuis un certain temps – il ressort de l’instruction que des violentes disputes impliquant des échanges de coups entre les parties seraient très fréquentes et que la lésée se ferait régulièrement injurier et menacer par son compagnon et serait parfois empêchée de sortir de son domicile –, les inscriptions qui figurent à son casier judiciaire sont pour le moins éloquentes. Celui-ci fait en effet état de sept condamnations depuis 2006, dont quatre depuis 2011 pour des actes de violence, notamment dans le cadre de sa relation avec N.________ et envers les autorités. A cet égard, on constate que les différentes peines pécuniaires et privatives de liberté fermes qui ont été prononcées à son encontre ne l’ont pas dissuadé de commettre de nouveaux actes de même nature. Ce n’est en effet apparemment pas la première fois que la police intervient dans le cadre d’une violente dispute entre les protagonistes, comme en témoignent certaines pièces au dossier (cf. P. 4 et P. 5) et les déclarations des deux protagonistes (cf. notamment procès-verbal de C.________ du 8 février 2016, pp. 3-5). D’après les déclarations de la victime, le prévenu aurait par ailleurs déjà tenté de l’étrangler et de l’étouffer par le passé (procès-verbal de N.________ du 8 février 2016, p. 4). En outre, les agissements dont la réitération est redoutée sont graves. Ils paraissent au surplus être en lien avec la consommation d’alcool et de stupéfiants du prévenu et avec ses difficultés à gérer adéquatement ses émotions. Le pronostic le concernant doit dès lors être considéré comme très défavorable. Pour le reste, les arguments du recourant ne sont pas de nature à remettre en cause cette appréciation. Quoi qu’il en dise, le risque de réitération est manifeste et justifie sa mise en détention provisoire.</w:t>
      </w:r>
    </w:p>
    <w:p>
      <w:r>
        <w:rPr>
          <w:b/>
        </w:rPr>
        <w:t>E. 3.4</w:t>
      </w:r>
    </w:p>
    <w:p>
      <w:r>
        <w:t>Les risques fondant la détention provisoire étant des motifs alternatifs, la question de l’existence d’un éventuel risque de collusion et de passage à l’acte peut demeurer indécise, dès lors que la détention provisoire est justifiée par le risque de réitération.</w:t>
      </w:r>
    </w:p>
    <w:p>
      <w:r>
        <w:rPr>
          <w:b/>
        </w:rPr>
        <w:t>E. 4.1</w:t>
      </w:r>
    </w:p>
    <w:p>
      <w:r>
        <w:t>Le recourant soutient qu’il pourrait, à titre de mesures de substitution, résider chez sa mère à [...], dans le canton de Fribourg, soit à 74 km du domicile de la victime et porter un bracelet électronique, ce qui lui permettrait de conserver son emploi, afin notamment de continuer à subvenir aux besoins de son fils et de sa concubine. Il fait en outre valoir qu’il serait prêt à se soumettre à un suivi thérapeutique afin de lui permettre de mieux gérer ses émotions et un éventuel problème de dépendance.</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liste des mesures de substitution énoncée à l'art. 237 al. 2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4.3</w:t>
      </w:r>
    </w:p>
    <w:p>
      <w:r>
        <w:t>En l’espèce, c’est à juste titre que le Tribunal des mesures de contrainte a considéré que les mesures proposées n’étaient pas propres à prévenir le risque de réitération. La mesure tendant à l’éloignement du prévenu du domicile de sa compagne assorti du port d’un bracelet électronique n’est en particulier pas suffisante. Un tel appareil n’étant pas équipé d’un système de localisation GPS, il ne permettra pas de contrôler les déplacements de C.________. En outre, la mise en œuvre d’un contrôle au moyen d’un bracelet électronique dans le large périmètre que comprendraient le lieu de résidence et l’éventuel lieu de travail du prénommé serait délicate, pour ne pas dire impossible, à mettre en œuvre. S’agissant de l’obligation de se présenter quotidiennement à un poste de police, cette mesure n’est pas non plus suffisante pour pallier la récidive, dès lors qu’elle laisserait le prévenu totalement libre de ses mouvements. En dernier lieu, bien que le recourant soit coutumier de la consommation d’alcool et de stupéfiants et qu’il paraisse avoir des difficultés à gérer ses émotions, un suivi ambulatoire traitant de ces questions ne saurait avoir, à lui seul, une incidence suffisante pour contenir le risque de réitération.</w:t>
      </w:r>
    </w:p>
    <w:p>
      <w:r>
        <w:rPr>
          <w:b/>
        </w:rPr>
        <w:t>E. 4.4</w:t>
      </w:r>
    </w:p>
    <w:p>
      <w:r>
        <w:t>C.________ est détenu depuis le 8 février 2016, soit depuis une vingtaine de jours. Compte tenu de ses antécédents et des faits qui lui sont reprochés, la détention provisoire est parfaitement proportionnée au regard de la peine qui est susceptible d’être prononcée à son encontre en cas de condamnation (art. 212 al. 3 CPP).</w:t>
      </w:r>
    </w:p>
    <w:p>
      <w:r>
        <w:rPr>
          <w:b/>
        </w:rPr>
        <w:t>E. 5</w:t>
      </w:r>
    </w:p>
    <w:p>
      <w:r>
        <w:t>Il résulte de ce qui précède que le recours, manifestement mal fondé, doit être rejeté, sans autre échanges d’écritures (art. 390 al. 2 CPP), et l’ordonnance du 11 février 2016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360 fr., plus la TVA par 28 fr. 80, soit 388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11 février 2016 est confirmée. III. L’indemnité allouée au défenseur d’office de C.________ est fixée à 388 fr. 80 (trois cent huitante-huit francs et huitante centimes). IV. Les frais d'arrêt, par 880 fr. (huit cent huitante francs), ainsi que l'indemnité due au défenseur d'office de C.________, par 388 fr. 80 (trois cent huitante-huit francs et huitante centimes), sont mis à la charge de ce dernier. V. Le remboursement à l’Etat de l’indemnité allouée au chiffre III ci-dessus ne sera exigible que pour autant que la situation économique de C.________ se soit améliorée. VI. Le présent arrêt est exécutoire. Le vice-président : Le greffier : Du Le présent arrêt, dont la rédaction a été approuvée à huis clos, est notifié, par l'envoi d'une copie complète, à : - Me Nadia Calabria, avocate (pour C.________), - Ministère public central, et communiqué à : - M. le Président du Tribunal des mesures de contrainte, ‑ Mme la Procureure de l’arrondissement de l’Est vaudois, - Me Valentine Getaz Kunz, avocate (pour N.________),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