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136 vom 25. Februar 2016</w:t>
      </w:r>
    </w:p>
    <w:p>
      <w:r>
        <w:t>VD Tribunal cantonal, 2016-02-25, FR</w:t>
      </w:r>
    </w:p>
    <w:p>
      <w:r>
        <w:rPr>
          <w:b/>
        </w:rPr>
        <w:t xml:space="preserve">Quelle: </w:t>
      </w:r>
      <w:r>
        <w:t>https://mcp.opencaselaw.ch/entscheid/vd_findinfo_D_cision___2016___136</w:t>
      </w:r>
    </w:p>
    <w:p>
      <w:r>
        <w:t>FR: VD_FINDINFO Décision / 2016 / 136 du 25 février 2016</w:t>
      </w:r>
    </w:p>
    <w:p>
      <w:r>
        <w:t>IT: VD_FINDINFO Décision / 2016 / 136 del 25 febbraio 2016</w:t>
      </w:r>
    </w:p>
    <w:p>
      <w:pPr>
        <w:pStyle w:val="Heading2"/>
      </w:pPr>
      <w:r>
        <w:t>Regeste</w:t>
      </w:r>
    </w:p>
    <w:p>
      <w:r>
        <w:t>DÉTENTION PROVISOIRE, RISQUE DE FUITE, RISQUE DE RÉCIDIVE, RISQUE DE COLLUSION, SOUPÇON | 221 CPP (CH)</w:t>
      </w:r>
    </w:p>
    <w:p>
      <w:pPr>
        <w:pStyle w:val="Heading2"/>
      </w:pPr>
      <w:r>
        <w:t>Erwägungen</w:t>
      </w:r>
    </w:p>
    <w:p>
      <w:r>
        <w:rPr>
          <w:b/>
        </w:rPr>
        <w:t>E. 1</w:t>
      </w:r>
    </w:p>
    <w:p>
      <w:r>
        <w:t>Aux termes de l’art. 393 al. 1 let. c CPP (Code de procédure pénale du 5 octobre 2007 ; RS 312.0), l 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détenu qui a qualité pour recourir (art. 382 CPP), de sorte qu’il est recevable.</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2.1</w:t>
      </w:r>
    </w:p>
    <w:p>
      <w:r>
        <w:t>Le recourant soutient qu’il n’existerait pas d’indices suffisants permettant de retenir qu’il a participé au cambriolage commis le 10 février 2016 à [...]. Pour le recourant, le fait qu’il ait été interpellé en compagnie du prévenu G.________ ne serait aucunement déterminant, ce d’autant que ce dernier aurait clairement déclaré avoir commis seul les faits qui lui sont reprochés et ne pas avoir mené d’activité délictueuse avec le recourant.</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e éd., Zurich 2006, n. 845 ; Schmocker, op. cit., n. 8 ad art. 221 CPP, p. 1025 ; Forster, in : Niggli/ Heer/Wiprächtiger [éd.], Basler Kommentar, Schweizerische Strafprozessordnung,</w:t>
      </w:r>
    </w:p>
    <w:p>
      <w:r>
        <w:rPr>
          <w:b/>
        </w:rPr>
        <w:t>E. 2.3</w:t>
      </w:r>
    </w:p>
    <w:p>
      <w:r>
        <w:t>En l’espèce, le recourant ne peut raisonnablement pas se fonder sur les déclarations de son comparse pour prétendre qu’il n’aurait pas commis les faits reprochés. On ne saurait en effet conférer de valeur probante aux propos du co-prévenu G.________, avec lequel le recourant est accusé d’avoir déjà commis des cambriolages par le passé. Bien au contraire, au regard des antécédents du recourant, des circonstances de son appréhension et des objets dérobés lors du cambriolage et retrouvés dans le véhicule lors de son arrestation, c’est à juste titre que le premier juge a retenu l’existence de forts soupçons de culpabilité.</w:t>
      </w:r>
    </w:p>
    <w:p>
      <w:r>
        <w:rPr>
          <w:b/>
        </w:rPr>
        <w:t>E. 3.1</w:t>
      </w:r>
    </w:p>
    <w:p>
      <w:r>
        <w:t>La détention provisoire prononcée à l’encontre du recourant se fonde notamment sur l’existence d’un risque de fuite (art. 221 al. 1 let. a CPP).</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 TF 1B_145/2012 du 19 avril 2012 consid. 3.1 et les références citées).</w:t>
      </w:r>
    </w:p>
    <w:p>
      <w:r>
        <w:rPr>
          <w:b/>
        </w:rPr>
        <w:t>E. 3.3</w:t>
      </w:r>
    </w:p>
    <w:p>
      <w:r>
        <w:t>En l’espèce, comme l’a retenu le premier juge, il est à craindre que le recourant, ressortissant du Kosovo en situation illégale en Suisse et sans attaches dans le pays, fuie le territoire helvétique ou disparaisse dans la clandestinité en vue d’échapper à la poursuite pénale dirigée contre lui et à la sanction encourue. Compte tenu de ce qui précède, l’existence d’un risque de fuite doit être confirmée à la suite des constatations du premier juge, de sorte qu’il n’y a pas lieu d’examiner plus avant la réalisation des risques de collusion et de réitération.</w:t>
      </w:r>
    </w:p>
    <w:p>
      <w:r>
        <w:rPr>
          <w:b/>
        </w:rPr>
        <w:t>E. 4.1</w:t>
      </w:r>
    </w:p>
    <w:p>
      <w:r>
        <w:t>Le recourant fait en outre valoir qu’une détention d’une durée de trois mois serait excessive et disproportionnée au regard des mesures d’investigation et de vérification annoncées par l’autorité d’instruction. Dans ces circonstances, et dès lors qu’il serait possible d’exécuter son renvoi d’ici la première quinzaine du mois de mars 2016, le recourant soutient que la détention provisoire devrait être prononcée pour une durée maximale d’un mois.</w:t>
      </w:r>
    </w:p>
    <w:p>
      <w:r>
        <w:rPr>
          <w:b/>
        </w:rPr>
        <w:t>E. 4.2</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4.3</w:t>
      </w:r>
    </w:p>
    <w:p>
      <w:r>
        <w:t>En l’espèce, dès lors que le vol en bande (art. 139 ch. 3 CP [Code pénal du 21 décembre 1937 ; RS 311.0]) est punissable d’une peine privative de liberté de dix ans au plus ou d’une peine pécuniaire minimale de 180 jours-amende au moins, une détention provisoire d’une durée de trois mois reste largement compatible avec la peine privative de liberté à laquelle le recourant est exposé concrètement en cas de condamnation. L’autorité d’instruction pourra toutefois ordonner la libération du recourant avant l’échéance du 11 mai 2016 si l’enquête prend fin dans l’intervalle et si les autres conditions justifiant son maintien en détention ne sont plus réunies. Enfin, c’est en vain que le recourant évoque la possibilité d’exécuter son renvoi dès le mois de mars prochain, un refoulement ne pouvant entrer en ligne de compte qu’au terme des investigations menées par le Ministère public et après que les autorités pénales se seront prononcées sur l’éventuelle peine à infliger au recourant. En définitive, au vu de ces éléments, le principe de la proportionnalité de la détention provisoire est donc respecté, aucune mesure de substitution n’étant au demeurant à même de pallier les risques retenus par le premier juge.</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12 février 2016 est confirmée. III. L'indemnité allouée au défenseur d'office de Z.________ est fixée à 388 fr. 80 (trois cent huitante-huit francs et huitante centimes). IV. Les frais d'arrêt, par 880 fr. (huit cent huitante francs), ainsi que l'indemnité due au défenseur d'office de Z.________, par 388 fr. 80 (trois cent huitante-huit francs et huitante centimes), sont mis à la charge de ce dernier. V. Le remboursement à l'Etat de l'indemnité allouée au chiffre III ci-dessus sera exigible pour autant que la situation économique de Z.________ se soit améliorée. VI. Le présent arrêt est exécutoire. Le vice-président : Le greffier : Du Le présent arrêt, dont la rédaction a été approuvée à huis clos, est notifié, par l'envoi d'une copie complète, à : - Me Julien Gafner, avocat (pour M. Z.________), - Ministère public central ;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