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135 vom 5. Februar 2016</w:t>
      </w:r>
    </w:p>
    <w:p>
      <w:r>
        <w:t>VD Tribunal cantonal, 2016-02-05, FR</w:t>
      </w:r>
    </w:p>
    <w:p>
      <w:r>
        <w:rPr>
          <w:b/>
        </w:rPr>
        <w:t xml:space="preserve">Quelle: </w:t>
      </w:r>
      <w:r>
        <w:t>https://mcp.opencaselaw.ch/entscheid/vd_findinfo_D_cision___2016___135</w:t>
      </w:r>
    </w:p>
    <w:p>
      <w:r>
        <w:t>FR: VD_FINDINFO Décision / 2016 / 135 du 5 février 2016</w:t>
      </w:r>
    </w:p>
    <w:p>
      <w:r>
        <w:t>IT: VD_FINDINFO Décision / 2016 / 135 del 5 febbraio 2016</w:t>
      </w:r>
    </w:p>
    <w:p>
      <w:pPr>
        <w:pStyle w:val="Heading2"/>
      </w:pPr>
      <w:r>
        <w:t>Regeste</w:t>
      </w:r>
    </w:p>
    <w:p>
      <w:r>
        <w:t>NON-LIEU |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par C.________ qui a qualité pour recourir dès lors qu'est notamment litigieuse la qualité de partie plaignante (art. 382 al. 1 CPP ; CREP 7 juillet 2015/461 consid. 1 et réf.), le recours, qui satisfait aux conditions de forme posées par la loi (cf. art. 385 al. 1 CPP), est recevable.</w:t>
      </w:r>
    </w:p>
    <w:p>
      <w:r>
        <w:rPr>
          <w:b/>
        </w:rPr>
        <w:t>E. 2</w:t>
      </w:r>
    </w:p>
    <w:p>
      <w:r>
        <w:t>La recourante conteste l'ordonnance attaquée dans la mesure où elle lui dénie la qualité de partie plaignante. Cette question peut demeurer indécise, le recours devant de toute manière être rejeté pour les motifs qui suivent.</w:t>
      </w:r>
    </w:p>
    <w:p>
      <w:r>
        <w:rPr>
          <w:b/>
        </w:rPr>
        <w:t>E. 3.1</w:t>
      </w:r>
    </w:p>
    <w:p>
      <w:r>
        <w:t>La recourante remet en cause la non-entrée en matière, arguant que l'infraction escroquerie serait réalisée.</w:t>
      </w:r>
    </w:p>
    <w:p>
      <w:r>
        <w:rPr>
          <w:b/>
        </w:rPr>
        <w:t>E. 3.2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faut être certain que l'état de fait ne constitue aucune infraction, ce qui est le cas lors de litiges purement civils.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(art. 309 CPP) qui devra être close par une ordonnance de classement dans la mesure où une condamnation apparaît très vraisemblablement exclue (ATF 138 IV 86 consid. 4.1.1; TF 1B_272/2011 du 22 mars 2012 consid. 3.1.1).</w:t>
      </w:r>
    </w:p>
    <w:p>
      <w:r>
        <w:rPr>
          <w:b/>
        </w:rPr>
        <w:t>E. 3.3</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w:t>
      </w:r>
    </w:p>
    <w:p>
      <w:r>
        <w:rPr>
          <w:b/>
        </w:rPr>
        <w:t>E. 3.4</w:t>
      </w:r>
    </w:p>
    <w:p>
      <w:r>
        <w:t>En l'espèce, les éléments sont clairs du point de vue des faits et du droit. Les bons promotionnels incriminés mentionnaient leur gratuité. Il suffisait donc à l'acheteur d'examiner le billet pour le constater. Il n'y a donc pas d'astuce et par là-même pas d'infraction à l'art. 146 CP. Les faits dénoncés par C.________ n'étant constitutifs d'aucune autre infraction pénale, les conditions de l'art. 310 al. 1 let. a CPP sont réunies et c'est à bon droit que le Ministère public n'est pas entré en matière.</w:t>
      </w:r>
    </w:p>
    <w:p>
      <w:r>
        <w:rPr>
          <w:b/>
        </w:rPr>
        <w:t>E. 4</w:t>
      </w:r>
    </w:p>
    <w:p>
      <w:r>
        <w:t>En définitive, le recours, manifestement mal fondé, doit être rejeté sans échange d’écritures (art. 390 al. 2 CPP) et l’ordonnance attaquée confirmée. Les frais de la procédure de recours, constitués en l'espèce uniquement de l'émolument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30 novembre 2015 est confirmée. III. Les frais de la procédure de recours, par 660 (six cent soixante francs), sont mis à la charge de C.________. IV. Le présent arrêt est exécutoire. Le président :               La greffière : Du Le présent arrêt, dont la rédaction a été approuvée à huis clos, est notifié, par l'envoi d'une copie complète, à : - M. [...] (pour C.________), - Mme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