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134 vom 5. Februar 2016</w:t>
      </w:r>
    </w:p>
    <w:p>
      <w:r>
        <w:t>VD Tribunal cantonal, 2016-02-05, FR</w:t>
      </w:r>
    </w:p>
    <w:p>
      <w:r>
        <w:rPr>
          <w:b/>
        </w:rPr>
        <w:t xml:space="preserve">Quelle: </w:t>
      </w:r>
      <w:r>
        <w:t>https://mcp.opencaselaw.ch/entscheid/vd_findinfo_D_cision___2016___134</w:t>
      </w:r>
    </w:p>
    <w:p>
      <w:r>
        <w:t>FR: VD_FINDINFO Décision / 2016 / 134 du 5 février 2016</w:t>
      </w:r>
    </w:p>
    <w:p>
      <w:r>
        <w:t>IT: VD_FINDINFO Décision / 2016 / 134 del 5 febbraio 2016</w:t>
      </w:r>
    </w:p>
    <w:p>
      <w:pPr>
        <w:pStyle w:val="Heading2"/>
      </w:pPr>
      <w:r>
        <w:t>Regeste</w:t>
      </w:r>
    </w:p>
    <w:p>
      <w:r>
        <w:t>DIFFAMATION, CALOMNIE, NON-LIEU | 173 CP, 174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plaignante, qui a la qualité pour recourir (cf.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2.2</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JT 1992 IV 107; Dupuis et alii, Petit commentaire du Code pénal, Bâle 2012, n. 4 ad rem. prél. aux art. 173 à 178 CP et la doctrine citée). Une allégation litigieuse ne portant atteinte qu'à la considération dont jouit le lésé dans sa profession ou ses affaires, ne tombe donc pas sous le coup des art. 173 ss CP (ATF 115 IV 44 consid. 1, JT 1990 IV 107). L’honneur professionnel n’est pas protégé par les dispositions du Code pénal réprimant les atteintes à l’honneur (ATF 119 IV 47 consid. 2a; ATF 105 IV 111 consid. 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w:t>
      </w:r>
    </w:p>
    <w:p>
      <w:r>
        <w:rPr>
          <w:b/>
        </w:rPr>
        <w:t>E. 2.3</w:t>
      </w:r>
    </w:p>
    <w:p>
      <w:r>
        <w:t>En l’espèce, les propos de C.________ relayés dans l’article publié par le journal [...] ne sont pas de nature à faire apparaître le recourant comme une personne méprisable. De telles allégations sont seulement susceptibles de léser la réputation professionnelle et personnelle du recourant, mais elles ne portent pas atteinte à sa considération, telle que protégée par le droit pénal, au sens de la jurisprudence précitée. Il résulte de ce qui précède que les éléments constitutifs des infractions prévues aux art. 173 et 174 CP ne sont manifestement pas réalisés. C'est donc à bon droit que le Procureur a rendu une ordonnance de non-entrée en matière.</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Ils seront compensés avec le montant de 550 fr. déjà versé par ce dernier à titre de sûretés (art. 383 al. 1 CPP et 7 TFIP). Par ces motifs, la Chambre des recours pénale prononce : I. Le recours est rejeté. II. L’ordonnance du 4 janvier 2016 est confirmée. III. Les frais du présent arrêt, par 550 fr. (cinq cent cinquante francs), sont mis à la charge d’ E.________.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