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133 vom 16. Februar 2016</w:t>
      </w:r>
    </w:p>
    <w:p>
      <w:r>
        <w:t>VD Tribunal cantonal, 2016-02-16, FR</w:t>
      </w:r>
    </w:p>
    <w:p>
      <w:r>
        <w:rPr>
          <w:b/>
        </w:rPr>
        <w:t xml:space="preserve">Quelle: </w:t>
      </w:r>
      <w:r>
        <w:t>https://mcp.opencaselaw.ch/entscheid/vd_findinfo_D_cision___2016___133</w:t>
      </w:r>
    </w:p>
    <w:p>
      <w:r>
        <w:t>FR: VD_FINDINFO Décision / 2016 / 133 du 16 février 2016</w:t>
      </w:r>
    </w:p>
    <w:p>
      <w:r>
        <w:t>IT: VD_FINDINFO Décision / 2016 / 133 del 16 febbraio 2016</w:t>
      </w:r>
    </w:p>
    <w:p>
      <w:pPr>
        <w:pStyle w:val="Heading2"/>
      </w:pPr>
      <w:r>
        <w:t>Regeste</w:t>
      </w:r>
    </w:p>
    <w:p>
      <w:r>
        <w:t>CLASSEMENT DE LA PROCÉDURE, VOL{DROIT PÉNAL}, INDEMNITÉ{EN GÉNÉRAL} | 139 CP, 319 CPP (CH)</w:t>
      </w:r>
    </w:p>
    <w:p>
      <w:pPr>
        <w:pStyle w:val="Heading2"/>
      </w:pPr>
      <w:r>
        <w:t>Erwägungen</w:t>
      </w:r>
    </w:p>
    <w:p>
      <w:r>
        <w:rPr>
          <w:b/>
        </w:rPr>
        <w:t>E. 1</w:t>
      </w:r>
    </w:p>
    <w:p>
      <w:r>
        <w:t>Les parties peuvent attaquer une ordonnance de classement rendue par le ministère public en application des art. 319 ss CPP (Code de procédure pénale du 5 octobre 2007 ; RS 312.0) dans les dix jours devant l’autorité de recours (art. 322 al. 2 et 396 al. 1 CPP; cf. art. 20 al. 1 let. b CPP), qui, dans le canton de Vaud, est la Chambre des recours pénale du Tribunal cantonal (art. 13 LVCPP [loi vaudoise d’introduction du Code de procédure pénale suisse; RSV 312.01] ; art. 80 LOJV [loi vaudoise d’organisation judiciaire; RSV 173.01]). En l'espèce, interjeté en temps utile devant l’autorité compétente par la partie plaignante qui a qualité pour recourir (art. 382 al. 1 CPP) et dans les formes prescrites après (art. 385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3</w:t>
      </w:r>
    </w:p>
    <w:p>
      <w:r>
        <w:t>e éd., vol. I, Berne 2010, nn. 8-11 ad art. 139 CP ; TF 6B_311/2013 du 28 mai 2013 consid. 2.4).</w:t>
      </w:r>
    </w:p>
    <w:p>
      <w:r>
        <w:rPr>
          <w:b/>
        </w:rPr>
        <w:t>E. 3.1</w:t>
      </w:r>
    </w:p>
    <w:p>
      <w:r>
        <w:t>Le recourant reproche au Procureur d’avoir classé la procédure en se fondant sur les seules déclarations de D.________, qui avait soutenu être de bonne foi, pour retenir que l’élément subjectif constitutif de l’infraction de vol faisait défaut. Pour le recourant, le Procureur n’aurait pas procédé à la clarification des faits en profondeur et les aurait constatés de manière erronée en retenant qu’il n’était pas établi que les biens litigieux lui appartenaient et qu’ils auraient été la propriété de l société M.________SA.</w:t>
      </w:r>
    </w:p>
    <w:p>
      <w:r>
        <w:rPr>
          <w:b/>
        </w:rPr>
        <w:t>E. 3.2</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Cette infraction suppose la réunion de cinq éléments constitutifs, soit une chose mobilière appartenant à autrui, un acte de soustraction, l’intention, un dessein d’appropriation et un dessein d’enrichissement illégitime. L’intention doit englober l’appartenance à autrui de la chose mobilière et l’auteur doit s’accaparer cette dernière avec conscience et volonté (Niggli/Riedo, in : Niggli/Wiprächtiger [éd.], Basler Kommentar Strafrecht II, 3 e éd. Bâle 2013, n. 63 ad art. 139 CP). Le dessein d’appropriation doit être présent au moment de la soustraction ; l’auteur agit dans un dessein d'appropriation s'il a pour but d'incorporer la chose à son patrimoine, que ce soit en vue de la conserver ou de l'aliéner (ATF 85 IV 17 consid. 1). Il agit dans un dessein d'enrichissement illégitime s'il a pour but de tirer lui-même de la chose ou de permettre à un tiers d'en tirer un profit qui devrait normalement revenir au propriétaire ou au possesseur légitime  (ATF 111 IV 74 consid. 1 ; Corboz, Les infractions en droit suisse,</w:t>
      </w:r>
    </w:p>
    <w:p>
      <w:r>
        <w:rPr>
          <w:b/>
        </w:rPr>
        <w:t>E. 3.3</w:t>
      </w:r>
    </w:p>
    <w:p>
      <w:r>
        <w:t>En l’espèce, il ressort d’un rapport établi le 21 avril 2006 par le commissaire au sursis concordataire qui avait été octroyé à G.________SA que cette dernière disposait alors au titre de ses « Immobilisations » de l’intégralité des installations nécessaires à l’exploitation de la société correspondant à une valeur de 111'600 francs. Peu avant, dans un document intitulé « Cession de créances », daté et signé le 12 avril 2006, le recourant avait cédé l’ensemble des créances produites dans le cadre du sursis concordataire à une société anonyme dont H.________ était l’administrateur unique. Le recourant y a déclaré qu’après cette cession, il n’avait plus aucune prétention à faire valoir contre la société G.________SA. Dans une annexe à ce document, signée le même jour, il indiquait encore que, moyennant le versement d’un montant de 260'000 fr., il était « entièrement désintéressé de toutes ses créances en principal et accessoires et de toutes autres prétentions » à l’encontre notamment de la société G.________SA. Dans ses écritures en procédure de recours, le recourant n’a pas remis en question le contenu des documents précités. On doit considérer, dans ces conditions, que les indices suffisants d’un dessein d’appropriation du matériel litigieux font défaut. Toute infraction contre le patrimoine peut dès lors être exclue, la société M.________SA en liquidation, anciennement G.________SA, pouvant de bonne foi se reconnaître comme étant la propriétaire du matériel litigieux et en disposer librement.</w:t>
      </w:r>
    </w:p>
    <w:p>
      <w:r>
        <w:rPr>
          <w:b/>
        </w:rPr>
        <w:t>E. 4</w:t>
      </w:r>
    </w:p>
    <w:p>
      <w:r>
        <w:t>Il résulte de ce qui précède que le recours doit être rejeté et l’ordonnance du 18 septembre 2015 confirmée. Dès lors que la société M.________SA en liquidation a été invitée à se déterminer sur le recours en qualité de prévenue, elle a droit à une indemnité pour les dépenses occasionnées par l’exercice raisonnable de ses droits de procédure (art. 429 al. 1 le t. a CPP). Il s’agit d’une prétention que l’autorité de recours doit examiner d’office (art. 429 al. 2 CPP, applicable par renvoi de l’art. 436 al. 1 CPP). Compte tenu de la nature de la cause et de ses difficultés en fait et en droit, il y a lieu d’allouer à l’intimée une indemnité correspondant à quatre heures d’activité d’avocat à 350 fr., soit à un montant de 1'512 fr., en incluant un montant correspondant à la TVA (4 x 350 fr. + 8%). Cette indemnité doit être mise à la charge de l’Etat (cf. TF 6B_810/2014 du 18 août 2015 consid. 1.2 ; TF 6B_357/2015 du 16 septembre 2015 consid. 2.2). Vu l’octroi au recourant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770 fr. (art. 20 al. 1 TFJP [tarif des frais judiciaires pénaux; RSV 312.03.1]) et des frais imputables à l’assistance judiciaire gratuite (art. 422 al. 1 et 2 let. a CPP), fixés à 900 fr. (5 heures d’avocat à 180 fr.), plus la TVA par 72 fr., soit au total 972 fr. – ne peuvent être mis à la charge du recourant qui succombe (art. 428 al. 1 CPP), mais doivent être provisoirement laissés à la charge de l’Etat (Harari/Corminboeuf, in: Kuhn/Jeanneret [éd.], Code de procédure pénale suisse, Commentaire romand, Bâle 2011, n. 51 ad art. 136 CPP). Le recourant sera toutefois tenu de rembourser ces frais à l’Etat dès que sa situation financière le permettra (art. 135 al. 4 CPP et 138 al. 1 CPP; Harari/Corminboeuf, op. cit., n. 11 ad art. 138 CPP). Par ces motifs, la Chambre des recours pénale prononce : I. Le recours est rejeté. II. L’ordonnance du 18 septembre 2015 est confirmée. III. Une indemnité de 1’512 fr. (mille cinq cent douze francs) est allouée à M.________SA en liquidation, à la charge de l’Etat, à titre d’indemnité pour les dépenses occasionnées par l’exercice raisonnable de ses droits de procédure. IV. L’indemnité allouée à Me Jean-Philippe Heim, conseil juridique gratuit de S.________, est fixée à 972 fr. (neuf cent septante-deux francs). V. Les frais d’arrêt, par 770 fr. (sept cent septante francs), ainsi que l’indemnité due au conseil juridique gratuit de S.________ par 972 fr. (neuf cent septante-deux francs), sont provisoirement laissés à la charge de l’Etat. VI. Le recourant est tenu de rembourser à l’Etat l’indemnité allouée au chiffre IV ci-dessus ainsi que les frais fixés au chiffre V ci-dessus dès que sa situation financière le permettra. VII. Le présent arrêt est exécutoire. Le président :               Le greffier : Du Le présent arrêt, dont la rédaction a été approuvée à huis clos, est notifié, par l'envoi d'une copie complète, à : - Me Jean-Philippe Heim, avocat (pour M. S.________), - Me François Roux, avocat (pour M.________SA en liquidation),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