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129 vom 6. Februar 2016</w:t>
      </w:r>
    </w:p>
    <w:p>
      <w:r>
        <w:t>VD Tribunal cantonal, 2016-02-06, FR</w:t>
      </w:r>
    </w:p>
    <w:p>
      <w:r>
        <w:rPr>
          <w:b/>
        </w:rPr>
        <w:t xml:space="preserve">Quelle: </w:t>
      </w:r>
      <w:r>
        <w:t>https://mcp.opencaselaw.ch/entscheid/vd_findinfo_D_cision___2016___129</w:t>
      </w:r>
    </w:p>
    <w:p>
      <w:r>
        <w:t>FR: VD_FINDINFO Décision / 2016 / 129 du 6 février 2016</w:t>
      </w:r>
    </w:p>
    <w:p>
      <w:r>
        <w:t>IT: VD_FINDINFO Décision / 2016 / 129 del 6 febbraio 2016</w:t>
      </w:r>
    </w:p>
    <w:p>
      <w:pPr>
        <w:pStyle w:val="Heading2"/>
      </w:pPr>
      <w:r>
        <w:t>Regeste</w:t>
      </w:r>
    </w:p>
    <w:p>
      <w:r>
        <w:t>JONCTION DE CAUSES, UNITÉ DE LA PROCÉDURE | 29 CPP (CH), 30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par laquelle le Ministère public ordonne la jonction ou la disjonction de procédures pénales (art. 30 CPP) est ainsi susceptible de recours au sens des art. 393 ss CPP (Stephenson/Thiriet, in : Niggli/Heer/Wiprächtiger [éd.], Basler Kommentar, Schweizerische Strafprozess-ordnung, Jugendstrafprozessordnung, 2e éd., Bâle 2014, n. 10 ad art. 393 CPP ; CREP 9 juin 2015/415 ; CREP 4 mai 2015/302 consid. 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l'acte du 22 janvier 2016 constitue clairement un recours dirigé contre l'ordonnance de jonction du 18 janvier 2016. S'agissant du recours de W.________, daté du 25 janvier 2016, il reprend en tout point les griefs invoqués dans celui daté du 22 janvier 2016. On considérera qu’il s'agit également d'un recours contre l’ordonnance de jonction du 18 janvier 2016. Dans ces circonstances, interjetés dans le délai légal auprès de l’autorité compétente par une partie qui a qualité pour recourir (cf. art. 382 al. 1 CPP), et satisfaisant aux conditions de forme posées par la loi (cf. art. 385 al. 1 CPP), les recours de W.________ contre l’ordonnance de jonction du 18 janvier 2016 sont recevables.</w:t>
      </w:r>
    </w:p>
    <w:p>
      <w:r>
        <w:rPr>
          <w:b/>
        </w:rPr>
        <w:t>E. 2.1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Ce principe découle déjà de l’art. 49 CP (Code pénal suisse du 21 décembre 1937, RS 311.0), qui veut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La règle générale de l’art. 29 al. 1 CPP veut ainsi éviter au prévenu de devoir comparaître devant plusieurs tribunaux à raison des faits qui lui sont reprochés (Moreillon/Parein-Reymond, op. cit., n. 4 ad art. 29 CPP). Elle tend également à éviter des jugements contradictoires et sert l’économie de la procédure (ATF 138 IV 214 consid. 3.2; ATF 138 IV 29 consid. 3.2). Dans ces circonstances, le Ministère public peut être tenu de joindre des procédures à l’encontre du même prévenu quand bien même la nature des infractions serait fort différente (ATF 138 IV 24 consid. 3.6).</w:t>
      </w:r>
    </w:p>
    <w:p>
      <w:r>
        <w:rPr>
          <w:b/>
        </w:rPr>
        <w:t>E. 2.2</w:t>
      </w:r>
    </w:p>
    <w:p>
      <w:r>
        <w:t>En l’espèce, les faits reprochés à E.________ dans le cadre de la procédure PE15.023305-MMR ne concernent en rien W.________. Néanmoins, en vertu du principe de l’unité de la procédure, il importe qu’E.________ soit jugé en une seule fois pour l’ensemble des faits qui lui sont reprochés et ainsi éviter qu’une autre autorité ne doive rendre, parallèlement, une autre décision à son encontre. Dans le cas concret, aucun motif objectif susceptible de justifier une instruction séparée ne ressort du dossier. Enfin, le recourant n’a pas démontré en quoi la jonction des causes lui porterait préjudice. En conséquence, la décision prise par le Ministère public ne prête pas le flanc à la critique et doit être confirmée.</w:t>
      </w:r>
    </w:p>
    <w:p>
      <w:r>
        <w:rPr>
          <w:b/>
        </w:rPr>
        <w:t>E. 3</w:t>
      </w:r>
    </w:p>
    <w:p>
      <w:r>
        <w:t>En définitive, le recours, manifestement mal fondé, doit être rejeté sans autres échanges d’écritures (art. 390 al. 2 CPP) et l’ordonnance de jonction du 18 janvier 2016 confirmée. La requête tendant à la désignation d’un défenseur d’office pour la procédure devant la cour de céans doit également être rejetée, le recours apparaissant d’emblée dénué de chances de succès (CREP 16 novembre 2015/741). Les frais de la procédure de recours, constitués de l’émolument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Les recours sont rejetés. II. L’ordonnance du 18 janvier 2016 est confirmée. III. La requête tendant à la désignation d’un défenseur d’office à W.________ pour la procédure de recours est rejetée. IV. Les frais de la procédure de recours, par 550 fr. (cinq cent cinquante francs), sont mis à la charge de W.________. V. Le présent arrêt est exécutoire. Le président :               La greffière : Du Le présent arrêt, dont la rédaction a été approuvée à huis clos, est notifié, par l'envoi d'une copie complète, à : - W.________, - E.________,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