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127 vom 18. Januar 2016</w:t>
      </w:r>
    </w:p>
    <w:p>
      <w:r>
        <w:t>VD Tribunal cantonal, 2016-01-18, FR</w:t>
      </w:r>
    </w:p>
    <w:p>
      <w:r>
        <w:rPr>
          <w:b/>
        </w:rPr>
        <w:t xml:space="preserve">Quelle: </w:t>
      </w:r>
      <w:r>
        <w:t>https://mcp.opencaselaw.ch/entscheid/vd_findinfo_D_cision___2016___127</w:t>
      </w:r>
    </w:p>
    <w:p>
      <w:r>
        <w:t>FR: VD_FINDINFO Décision / 2016 / 127 du 18 janvier 2016</w:t>
      </w:r>
    </w:p>
    <w:p>
      <w:r>
        <w:t>IT: VD_FINDINFO Décision / 2016 / 127 del 18 gennaio 2016</w:t>
      </w:r>
    </w:p>
    <w:p>
      <w:pPr>
        <w:pStyle w:val="Heading2"/>
      </w:pPr>
      <w:r>
        <w:t>Regeste</w:t>
      </w:r>
    </w:p>
    <w:p>
      <w:r>
        <w:t>ABUS DE CONFIANCE, CLASSEMENT DE LA PROCÉDURE | 138 ch. 1 al. 2 CP,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de l'art. 138 ch. 1 CP ne protège pas la propriété, mais le droit de celui qui a confié la valeur patrimoniale à ce que celle-ci soit utilisée dans le but qu'il a assigné et conformément aux instructions qu'il a données (ATF 129 IV 257 consid. 2.2.1; ATF 121 IV 23 consid. 1c; ATF 119 IV 127 consid. 2). Du point de vue subjectif, l'auteur doit avoir agi intentionnellement et, même si la loi ne le dit pas expressément, dans un dessein d'enrichissement illégitime. Le dessein d'enrichissement peut être réalisé par dol éventuel (ATF  118 IV 32 consid. 2a).</w:t>
      </w:r>
    </w:p>
    <w:p>
      <w:r>
        <w:rPr>
          <w:b/>
        </w:rPr>
        <w:t>E. 2.1</w:t>
      </w:r>
    </w:p>
    <w:p>
      <w:r>
        <w:t>Le recourant soutient que le Ministère public aurait violé le droit, qu’il aurait abusé de son pouvoir d’appréciation en refusant d’engager l’accusation à l’encontre de W.________ et qu’il aurait constaté les faits de manière inexacte. Il considère que l’ordonnance de classement attaquée serait inopportune, que le Ministère public aurait dû ordonner l’audition de R.________ et I.________ en qualité de témoins et accorder plus de poids à ses déclarations « parfaitement concordantes et précises ».</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rPr>
          <w:b/>
        </w:rPr>
        <w:t>E. 2.3</w:t>
      </w:r>
    </w:p>
    <w:p>
      <w:r>
        <w:t>Commet un abus de confiance au sens de l'art. 138 ch. 1 al. 2 CP celui qui, sans droit, aura employé à son profit ou au profit d'un tiers des valeurs patrimoniales qui lui avaient été confiées. Sur le plan objectif, cette infraction suppose que l'on soit en présence d'une valeur confiée, ce qui signifie que l'auteur en ait la possession en vertu d'un accord ou d'un autre rapport juridique qui implique qu'il n'en a pas la libre disposition et ne peut se l'approprier (Corboz, Les infractions en droit suisse, vol. II, 3 e éd. Berne 2010, n.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w:t>
      </w:r>
    </w:p>
    <w:p>
      <w:r>
        <w:rPr>
          <w:b/>
        </w:rPr>
        <w:t>E. 2.4</w:t>
      </w:r>
    </w:p>
    <w:p>
      <w:r>
        <w:t>En l’espèce, il n’est pas contesté que le prévenu a travaillé en tant que vendeur indépendant auprès de la société B.________ SA de 2010 jusqu’à avril 2012, qu’il a ensuite été engagé comme vendeur régulier puis qu’il a repris son statut de vendeur indépendant en septembre 2012. Il n’est non plus pas contesté que le prévenu, en tant que vendeur indépendant, percevait une commission de 20% sur le prix de chaque vente (PV aud 1 ; PV aud 2, l. 23-45 ; PV aud 4, l. 32-61). Il ressort en outre du dossier que W.________ a admis avoir conservé certains montants versés par les clients à titre de paiement des commissions qui lui revenaient (PV aud. 2, l. 47 ss) et que  T.________ a quant lui admis avoir autorisé le prévenu à prélever des avances sur commissions directement sur ces montants (PV aud. 4, l. 34 ss). Les parties n’ont toutefois pas établi le décompte des clients que le prévenu a ramenés, ni des montants que ce dernier a reversés à son employeur ensuite des ventes qu’il a conclues. Elles n’ont pas établi non plus de décompte relatif aux montants que le plaignant a versés au prévenu à titre de commission. Les parties ont d’ailleurs déclaré que toutes ces opérations se faisaient de la main à la main (PV aud. 2, l. 28-29 ; PV aud. 4, l. 142 ss). Dans ces circonstances, on ne voit pas comment on pourrait établir que le prévenu aurait conservé par-devers lui des commissions plus conséquentes que celles auxquelles il pouvait légitiment prétendre. Les mesures d’instruction proposées par le recourant, soit l’audition de R.________ et d’I.________, ne sont pas susceptibles d’apporter des informations pertinentes à cet égard. Partant, les perspectives d’une condamnation de W.________ sont inexistantes. Le classement de la procédure ouverte à son encontre pour abus de confiance était donc justifié. Pour le reste, le recourant ne développe aucun moyen concernant le classement de la procédure ordonné par le Ministère public pour faux dans les titres, de sorte qu’ il y a également lieu de confirmer le classement sur ce point.</w:t>
      </w:r>
    </w:p>
    <w:p>
      <w:r>
        <w:rPr>
          <w:b/>
        </w:rPr>
        <w:t>E. 3</w:t>
      </w:r>
    </w:p>
    <w:p>
      <w:r>
        <w:t>Sur le vu de ce qui précède, le recours doit être rejeté et l’ordonnance de classement du 5 novembre 2015 confirmée.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5 novembre 2015 est confirmée. III. Les frais d’arrêt, par 660 fr. (six cent soixante francs), sont mis à la charge de T.________. IV. Le présent arrêt est exécutoire. Le président :               La greffière : Du Le présent arrêt, dont la rédaction a été approuvée à huis clos, est notifié, par l'envoi d'une copie complète, à : - Me Filippo Ryter, avocat (pour T.________), - Me David Regamey, avocat (pour W.________),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