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126 vom 16. Februar 2016</w:t>
      </w:r>
    </w:p>
    <w:p>
      <w:r>
        <w:t>VD Tribunal cantonal, 2016-02-16, FR</w:t>
      </w:r>
    </w:p>
    <w:p>
      <w:r>
        <w:rPr>
          <w:b/>
        </w:rPr>
        <w:t xml:space="preserve">Quelle: </w:t>
      </w:r>
      <w:r>
        <w:t>https://mcp.opencaselaw.ch/entscheid/vd_findinfo_D_cision___2016___126</w:t>
      </w:r>
    </w:p>
    <w:p>
      <w:r>
        <w:t>FR: VD_FINDINFO Décision / 2016 / 126 du 16 février 2016</w:t>
      </w:r>
    </w:p>
    <w:p>
      <w:r>
        <w:t>IT: VD_FINDINFO Décision / 2016 / 126 del 16 febbraio 2016</w:t>
      </w:r>
    </w:p>
    <w:p>
      <w:pPr>
        <w:pStyle w:val="Heading2"/>
      </w:pPr>
      <w:r>
        <w:t>Regeste</w:t>
      </w:r>
    </w:p>
    <w:p>
      <w:r>
        <w:t>NON-LIEU, QUALITÉ POUR AGIR ET RECOURIR | 106 al. 3 CPP (CH),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Interjeté dans le délai légal auprès de l’autorité compétente par la partie plaignante qui a qualité pour recourir (art. 382 al. 1 CPP), le recours est recevable, sous réserve de ce qui suit. Le recourant est privé de l’exercice de ses droits civils (cf. la décision rendue le 12 mai 2015 par la Justice de paix du district de l’Ouest lausannois, entrée en force). Il ne pouvait dès lors agir seul, sauf, s’agissant d’un droit procédural de nature strictement personnelle, s’il est capable de discernement au sens de l’art. 106 al. 3 CPP. Or, cela n’est pas établi. La question de la recevabilité du recours peut toutefois rester ouverte, celui-ci devant de toute manière être rejeté pour les motifs ci-après.</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2.2</w:t>
      </w:r>
    </w:p>
    <w:p>
      <w:r>
        <w:t>Se prévalant de moult dispositions de droit international et de droit interne (Déclaration universelle des droits de l’homme; Convention du 4 novembre 1950 de sauvegarde des droits de l’homme et des libertés fondamentales; Code civil; règlement du Conseil d’Etat du 9 décembre 2002 relatif à la gestion des conflits au travail et à la lutte contre le harcèlement [RCTH; RSV 172.31.7]), le recourant reproche à sa curatrice de l’avoir privé des ressources nécessaires à son entretien. A l’appui de sa conclusion implicite, il soutient ainsi qu’elle n’aurait pas rempli sa mission à satisfaction de droit. Ce grief relève du juge civil. Sous l’angle pénal, le dossier ne comporte aucun élément dont il ressortirait que les éléments constitutifs d’une quelconque infraction seraient réalisés.</w:t>
      </w:r>
    </w:p>
    <w:p>
      <w:r>
        <w:rPr>
          <w:b/>
        </w:rPr>
        <w:t>E. 2.3</w:t>
      </w:r>
    </w:p>
    <w:p>
      <w:r>
        <w:t>Les conditions posées par l’art. 310 al. 1 let. a CPP étant ainsi réunies, c’est à bon droit que le Procureur général a rendu une ordonnance de non-entrée en matière.</w:t>
      </w:r>
    </w:p>
    <w:p>
      <w:r>
        <w:rPr>
          <w:b/>
        </w:rPr>
        <w:t>E. 3</w:t>
      </w:r>
    </w:p>
    <w:p>
      <w:r>
        <w:t>En définitive, le recours, manifestement mal fondé, doit être rejeté sans autres échanges d’écritures (art. 390 al. 2 CPP), dans la mesure où il est recevable, et l’ordonnance de non-entrée en matière du 2 février 2016 confirmée. Les frais de la procédure de recours, constitués en l’espèce du seul émolument d'arrêt (art. 422 al. 1 CPP), par 440 fr. (art. 20 al. 1 TFIP [tarif des frais de procédure et indemnités en matière pénale du 28 septembre 2010 ; RSV 312.03.1]), seront mis à la charge du recourant, qui succombe (art. 428 al. 1 CPP). Par ces motifs, la Chambre des recours pénale prononce : I. Le recours est rejeté dans la mesure où il est recevable. II. L’ordonnance du 2 février 2016 est confirmée. III. Les frais d’arrêt, par 440 fr. (quatre cent quarante francs), sont mis à la charge du recourant. IV. L’arrêt est exécutoire. Le président :               Le greffier : Du Le présent arrêt, dont la rédaction a été approuvée à huis clos, est notifié, par l'envoi d'une copie complète, à : - M. J.________, -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