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12 vom 6. Januar 2016</w:t>
      </w:r>
    </w:p>
    <w:p>
      <w:r>
        <w:t>VD Tribunal cantonal, 2016-01-06, FR</w:t>
      </w:r>
    </w:p>
    <w:p>
      <w:r>
        <w:rPr>
          <w:b/>
        </w:rPr>
        <w:t xml:space="preserve">Quelle: </w:t>
      </w:r>
      <w:r>
        <w:t>https://mcp.opencaselaw.ch/entscheid/vd_findinfo_D_cision___2016___12</w:t>
      </w:r>
    </w:p>
    <w:p>
      <w:r>
        <w:t>FR: VD_FINDINFO Décision / 2016 / 12 du 6 janvier 2016</w:t>
      </w:r>
    </w:p>
    <w:p>
      <w:r>
        <w:t>IT: VD_FINDINFO Décision / 2016 / 12 del 6 gennaio 2016</w:t>
      </w:r>
    </w:p>
    <w:p>
      <w:pPr>
        <w:pStyle w:val="Heading2"/>
      </w:pPr>
      <w:r>
        <w:t>Regeste</w:t>
      </w:r>
    </w:p>
    <w:p>
      <w:r>
        <w:t>DÉTENTION PROVISOIRE, DÉTENTION{INCARCÉRATION}, MOTIF DE DÉTENTION, RISQUE DE RÉCIDIVE |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et par le détenu qui a qualité pour recourir (art. 222 et 382 al. 1 CPP), l’acte de recours du 28 décembre 2015 rédigé personnellement par A.________ est recevable. Il en va de même du « mémoire de recours » du 30 décembre 2015 déposé par son défenseur d’office, complétant les arguments articulés par le recourant dans son acte de recours initial et précisant les conclusions prises.</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ne doit pas durer plus longtemps que la peine privative de liberté prévisible (art. 212 al. 3 CPP).</w:t>
      </w:r>
    </w:p>
    <w:p>
      <w:r>
        <w:rPr>
          <w:b/>
        </w:rPr>
        <w:t>E. 2.2</w:t>
      </w:r>
    </w:p>
    <w:p>
      <w:r>
        <w:t>La mise en détention provisoire n’est possible que s’il existe, préalablement à toute autre cause, de graves soupçons de culpabilité d’avoir commis un crime ou un délit à l’égard de l’auteur présumé (ATF 139 IV 186 consid. 2 ; Schmocker, Commentaire romand, Code de procédure pénale suisse, Bâle 2011, nn. 7 ss ad art. 221 CPP, pp. 1024 ss). En l’espèce, le recourant ne conteste à juste titre pas l’existence de présomptions de culpabilité suffisantes.</w:t>
      </w:r>
    </w:p>
    <w:p>
      <w:r>
        <w:rPr>
          <w:b/>
        </w:rPr>
        <w:t>E. 2.3.1</w:t>
      </w:r>
    </w:p>
    <w:p>
      <w:r>
        <w:t>Pour le recourant, il n’existerait pas de risque de récidive dès lors qu’aucune nouvelle condamnation ne serait intervenue depuis 2011, qu’aucun incident ne serait survenu depuis sa libération le 31 juillet 2015, qu’il n’aurait pas tenté de dérober de la marchandise en usant de violence et qu’aucun risque concret de récidive ne ressortirait du dossier pénal.</w:t>
      </w:r>
    </w:p>
    <w:p>
      <w:r>
        <w:rPr>
          <w:b/>
        </w:rPr>
        <w:t>E. 2.3.2</w:t>
      </w:r>
    </w:p>
    <w:p>
      <w:r>
        <w:t>Pour retenir un risque de récidive, le pronostic doit être très défavorable et les délits dont la réitération est redoutée doivent être graves (ATF 137 IV 84 consid. 4.5, JdT 2011 IV 325 ; ATF 135 I 71 consid. 2.3 ; ATF 133 I 270 consid. 2.2 et les arrêts cités, JdT 2011 IV 3 ; TF 1B_39/2013 du 14 février 2013 consid. 2.1 ;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 TF 1B_39/2013 précité).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Commentaire romand, Code de procédure pénale suisse, Bâle 2011, n. 20 ad art. 221 CPP). La prévention du risque de récidive doit permettre de faire prévaloir l'intérêt à la sécurité publique sur la liberté personnelle du prévenu (ATF 137 IV 13 consid. 4.5).</w:t>
      </w:r>
    </w:p>
    <w:p>
      <w:r>
        <w:rPr>
          <w:b/>
        </w:rPr>
        <w:t>E. 2.3.3</w:t>
      </w:r>
    </w:p>
    <w:p>
      <w:r>
        <w:t>En l’espèce, le recourant a été condamné depuis 2004 à douze reprises notamment pour des actes de violence envers autrui, tels que des brigandages. Contrairement à ce qu’il soutient, la dernière condamnation du recourant date de mai 2013 et non pas de 2011. Comme l’a relevé à juste titre le premier juge, ces nombreuses condamnations et les différentes peines et mesures thérapeutiques prononcées à son encontre ne l’ont pas empêché de s’en prendre violemment à un vendeur qui n’a pas pu satisfaire sa demande de conclusion d’abonnement de téléphonie. Même si l’on devait admettre qu’il n’a pas cherché à dérober de marchandises, la situation précaire du recourant, qui a fait l’objet en 2011 d’une expertise relevant notamment son absence de sentiment de culpabilité et dont la mesure thérapeutique prononcée en 2011 a dû être interrompue en juillet 2015 du fait qu’elle était vouée à l’échec, laisse manifestement craindre qu’il ne récidive s’il devait être libéré. Au demeurant, les pièces figurant au dossier, notamment la photographie des griffures subies au visage par un agent de police, démontrent que les actes de violence reprochés au recourant relèvent d’une intensité suffisante pour qu’ils puissent être qualifiés de graves. Cette constatation est renforcée par le fait que le recourant a poursuivi ses actes de violence à la suite de son appréhension et après s’en être pris à pas moins de cinq agents différents. A cela s’ajoute que l’art. 285 CP, en tant qu’il figure dans le code sous le titre « Infractions contre l’autorité publique », réprime un délit qui peut être qualifié de grave. Partant, le risque de récidive est concret et justifie le placement du recourant en détention provisoire.</w:t>
      </w:r>
    </w:p>
    <w:p>
      <w:r>
        <w:rPr>
          <w:b/>
        </w:rPr>
        <w:t>E. 2.4</w:t>
      </w:r>
    </w:p>
    <w:p>
      <w:r>
        <w:t>Pour le surplus, aucune mesure de substitution n’est propre à prévenir les risques retenus. Le recourant n’en propose du reste aucune à l’appui de son recours.</w:t>
      </w:r>
    </w:p>
    <w:p>
      <w:r>
        <w:rPr>
          <w:b/>
        </w:rPr>
        <w:t>E. 3</w:t>
      </w:r>
    </w:p>
    <w:p>
      <w:r>
        <w:t>A.________ est détenu depuis le 22 décembre 2015, soit depuis environ deux semaines. Compte tenu de ses antécédents et de la gravité des faits qui lui sont reprochés, la détention provisoire demeure parfaitement proportionnée au regard de la peine qui est susceptible d’être prononcée à son encontre en cas de condamnation (art. 212 al. 3 CPP), ce d’autant plus que le Procureur a relevé dans sa requête de mise en détention que l’instruction « ne devrait plus prendre beaucoup de temps ».</w:t>
      </w:r>
    </w:p>
    <w:p>
      <w:r>
        <w:rPr>
          <w:b/>
        </w:rPr>
        <w:t>E. 4</w:t>
      </w:r>
    </w:p>
    <w:p>
      <w:r>
        <w:t>Il résulte de ce qui précède que le recours, manifestement mal fondé, doit être rejeté sans autres échanges d’écritures (art. 390 al. 2 CPP) et l’ordonnance du 24 décembre 2015 confirmée.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24 décembre 2015 est confirmée. III. L'indemnité allouée au défenseur d'office d’A.________ est fixée à 583 fr. 20 (cinq cent huitante trois francs et vingt centimes). IV. Les frais d’arrêt, par 770 fr. (sept cent septante francs), ainsi que l'indemnité allouée au défenseur d'office d’A.________, par 583 fr. 20 (cinq cent huitante trois francs et vingt centimes), sont mis à la charge du prévenu. V. Le remboursement à l'Etat de l'indemnité allouée au chiffre III ci-dessus sera exigible pour autant que la situation d’A.________ se soit améliorée. VI. Le présent arrêt est exécutoire. Le président :               Le greffier : Du Le présent arrêt, dont la rédaction a été approuvée à huis clos, est notifié, par l'envoi d'une copie complète, à : - Me Michel Dupuis, avocat (pour A.________), - Ministère public central ; et communiqué à : - M. le Président du Tribunal des mesures de contrainte, - M. le Procureur de l’arrondissement du Nord vaudois, - M.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