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113 vom 12. Februar 2016</w:t>
      </w:r>
    </w:p>
    <w:p>
      <w:r>
        <w:t>VD Tribunal cantonal, 2016-02-12, FR</w:t>
      </w:r>
    </w:p>
    <w:p>
      <w:r>
        <w:rPr>
          <w:b/>
        </w:rPr>
        <w:t xml:space="preserve">Quelle: </w:t>
      </w:r>
      <w:r>
        <w:t>https://mcp.opencaselaw.ch/entscheid/vd_findinfo_D_cision___2016___113</w:t>
      </w:r>
    </w:p>
    <w:p>
      <w:r>
        <w:t>FR: VD_FINDINFO Décision / 2016 / 113 du 12 février 2016</w:t>
      </w:r>
    </w:p>
    <w:p>
      <w:r>
        <w:t>IT: VD_FINDINFO Décision / 2016 / 113 del 12 febbraio 2016</w:t>
      </w:r>
    </w:p>
    <w:p>
      <w:pPr>
        <w:pStyle w:val="Heading2"/>
      </w:pPr>
      <w:r>
        <w:t>Regeste</w:t>
      </w:r>
    </w:p>
    <w:p>
      <w:r>
        <w:t>SUSPENSION DE LA PROCÉDURE | 314 al. 1 let. b CPP (CH)</w:t>
      </w:r>
    </w:p>
    <w:p>
      <w:pPr>
        <w:pStyle w:val="Heading2"/>
      </w:pPr>
      <w:r>
        <w:t>Erwägungen</w:t>
      </w:r>
    </w:p>
    <w:p>
      <w:r>
        <w:rPr>
          <w:b/>
        </w:rPr>
        <w:t>E. 1</w:t>
      </w:r>
    </w:p>
    <w:p>
      <w:r>
        <w:t>Les parties peuvent attaquer une ordonnance de suspension rendue par le Ministère public (cf. art. 393 al. 1 let. a CPP et 314 al. 5 CPP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16 janvier 2013/67; CREP 20 février 2014/142). En l’espèce, interjeté en temps utile devant l’autorité compétente par une partie ayant la qualité pour recourir (art. 382 al. 1 CPP), le recours est recevable.</w:t>
      </w:r>
    </w:p>
    <w:p>
      <w:r>
        <w:rPr>
          <w:b/>
        </w:rPr>
        <w:t>E. 2.1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Cornu, in : Kuhn/Jeanneret [éd.], Commentaire romand, Code de procédure pénale, Bâle 2011, n. 13 ad art. 314 CPP; CREP 3 novembre 2015/709; CREP 8 mai 2015/319;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Cornu, op. cit., n. 13 ad art. 314 CPP).</w:t>
      </w:r>
    </w:p>
    <w:p>
      <w:r>
        <w:rPr>
          <w:b/>
        </w:rPr>
        <w:t>E. 2.2</w:t>
      </w:r>
    </w:p>
    <w:p>
      <w:r>
        <w:t>En l'espèce, le recourant soutient que les deux affaires seraient étroitement connexes et que la mesure de sa culpabilité dans la cause dirigée contre lui dépendrait de l’issue de la procédure pénale ouverte contre [...], [...] et [...], ainsi que contre inconnu.</w:t>
      </w:r>
    </w:p>
    <w:p>
      <w:r>
        <w:rPr>
          <w:b/>
        </w:rPr>
        <w:t>E. 2.3</w:t>
      </w:r>
    </w:p>
    <w:p>
      <w:r>
        <w:t>Les procédures pénales PE16.000122-DMT et PE15.018666-DMT concernent un seul et même complexe de faits, à savoir l’intrusion de plusieurs personnes sur la propriété du recourant le 19 septembre 2015. Aucun fait susceptible d’être déterminant dans une procédure n’est étranger à l’autre. Dans ces conditions, on ne se trouve pas dans l’hypothèse visée par l’art. 314 al. 1 let. b CPP, à savoir celle où l’issue d’une procédure dépend d’une autre (p. ex. dans le cas d’une plainte pour diffamation déposée par un prévenu). A contrario, lorsque les faits constituant l’objet de l’instruction sont rigoureusement identiques dans les deux procédures, la suspension ne se justifie pas. Qui plus est, il convient en outre de respecter le principe de célérité consacré par l’art. 29 al. 1 Cst (Constitution fédérale de la Confédération suisse du 18 avril 1999; RS 101) et repris par l’art. 5 al. 1 CPP, qui impose de n’admettre la suspension qu’à titre exceptionnel (TF 1B_67/2011 du 13 avril 2011 consid. 4.2 et 4.5), et d’éviter d’éventuels jugements contradictoires.</w:t>
      </w:r>
    </w:p>
    <w:p>
      <w:r>
        <w:rPr>
          <w:b/>
        </w:rPr>
        <w:t>E. 2.4</w:t>
      </w:r>
    </w:p>
    <w:p>
      <w:r>
        <w:t>En définitive, il n’y a pas matière à suspension de la procédure PE16.000122-DMT, a fortiori pour une durée indéterminée.</w:t>
      </w:r>
    </w:p>
    <w:p>
      <w:r>
        <w:rPr>
          <w:b/>
        </w:rPr>
        <w:t>E. 3</w:t>
      </w:r>
    </w:p>
    <w:p>
      <w:r>
        <w:t>Il résulte de ce qui précède que le recours doit être admis. L’ordonnance de suspension sera annulée et le dossier renvoyé au Ministère public afin qu'il instruise, le cas échéant conjointement, les deux causes susmentionnées. Les frais de la procédure de recours, constitués en l'espèce du seul émolument d'arrêt, par 550 fr. (art. 422 al. 1 CPP et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7 janvier 2016 est annulée. III. Le dossier de la cause est renvoyé au Ministère public de l’arrondissement de La Côte pour qu’il procède dans le sens des considérants. IV. Les frais d’arrêt, par 550 fr. (cinq cent cinquante francs), sont laissés à la charge de l’Etat. V. Le présent arrêt est exécutoire. Le président :               Le greffier : Du Le présent arrêt, dont la rédaction a été approuvée à huis clos, est notifié, par l'envoi d'une copie complète, à : - Me Pierre Chiffelle, avocat (pour J.________), - M. [...], - M. [...], - M. [...],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