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111 vom 4. März 2016</w:t>
      </w:r>
    </w:p>
    <w:p>
      <w:r>
        <w:t>VD Tribunal cantonal, 2016-03-04, FR</w:t>
      </w:r>
    </w:p>
    <w:p>
      <w:r>
        <w:rPr>
          <w:b/>
        </w:rPr>
        <w:t xml:space="preserve">Quelle: </w:t>
      </w:r>
      <w:r>
        <w:t>https://mcp.opencaselaw.ch/entscheid/vd_findinfo_D_cision___2016___111</w:t>
      </w:r>
    </w:p>
    <w:p>
      <w:r>
        <w:t>FR: VD_FINDINFO Décision / 2016 / 111 du 4 mars 2016</w:t>
      </w:r>
    </w:p>
    <w:p>
      <w:r>
        <w:t>IT: VD_FINDINFO Décision / 2016 / 111 del 4 marzo 2016</w:t>
      </w:r>
    </w:p>
    <w:p>
      <w:pPr>
        <w:pStyle w:val="Heading2"/>
      </w:pPr>
      <w:r>
        <w:t>Regeste</w:t>
      </w:r>
    </w:p>
    <w:p>
      <w:r>
        <w:t>CLASSEMENT DE LA PROCÉDURE, ESCROQUERIE, FAUX INTELLECTUEL DANS LES TITRES, FAUX MATÉRIEL DANS LES TITRES | 146 CP, 251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312.01];art. 80 LOJV [loi vaudoise d’organisation judiciaire; RSV 173.01]). Posté le 19 janvier 2016 et dirigé contre l'ordonnance de classement du 8 janvier 2016 notifiée le 12 janvier 2016, le recours de W.________, qui a qualité pour recourir (art. 382 al. 1 CPP), l'a été dans le délai légal (90 et 396 al. 1 CPP) et dans le respect des conditions de forme (art. 385 CPP). Il est dès lors recevable .</w:t>
      </w:r>
    </w:p>
    <w:p>
      <w:r>
        <w:rPr>
          <w:b/>
        </w:rPr>
        <w:t>E. 2</w:t>
      </w:r>
    </w:p>
    <w:p>
      <w:r>
        <w:t>et les références citées).</w:t>
      </w:r>
    </w:p>
    <w:p>
      <w:r>
        <w:rPr>
          <w:b/>
        </w:rPr>
        <w:t>E. 3.1</w:t>
      </w:r>
    </w:p>
    <w:p>
      <w:r>
        <w:t>La recourante prétend que le prévenu se serait faussement prévalu d'une "confirmation bancaire du paiement le 7 mai 2015 des 8'000 fr.", alors qu'il n'ignorait pas que son compte présentait, ce jours-là et jusqu'au 21 mai 2015, un solde débiteur, l'ordre de paiement E-banking ayant fini par être annulé le 11 mai 2015, faute de couverture suffisante. L'intéressé aurait agi ainsi dans le seul but de tromper la recourante et de l'amener à retirer sa plainte pénale (mémoire p. 4).</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3.2.1</w:t>
      </w:r>
    </w:p>
    <w:p>
      <w:r>
        <w:t>En l'espèce, W.________ savait, le 7 mai 2015, que son paiement en faveur de la plaignante ne pouvait ni intervenir ce jour-là entre 12h et 14h comme exigé par la convention, ni même à une date proche (cf. P. 10/3). En cours de procédure, il a d'ailleurs admis qu'à cette époque, ses revenus étaient si irréguliers que plusieurs ordres avaient dû être annulés (P. 12/3). Il n'a toutefois pas révélé cette réalité au cours de l'audience du 7 mai 2015. Son mutisme a conforté P.________ dans son erreur, alors que le tribunal constatait dans son procès-verbal que Me Brenci produisait sa "confirmation du paiement" et que[...] confirmait que, le véhicule ayant été restitué, la plainte "pouvait être considérée comme retirée conformément à la convention (…)" . Son attitude relève de la tromperie au sens de l'art. 146 CP.</w:t>
      </w:r>
    </w:p>
    <w:p>
      <w:r>
        <w:rPr>
          <w:b/>
        </w:rPr>
        <w:t>E. 3.2.2</w:t>
      </w:r>
    </w:p>
    <w:p>
      <w:r>
        <w:t>Cependant, pour qu'une infraction à l'art. 146 CP puisse être retenue à l'encontre de W.________, il faut encore que sa tromperie ait été astucieuse. P.________ prétend que tel serait le cas, au motif que personne ne pouvait savoir, à la reprise des débats, si le solde débiteur de -1 fr. 31 était celui d'avant l'exécution ou d'après l'exécution du paiement et que dans le contexte où elle a pris sa décision de retrait de plainte, cela ne pouvait être vérifié. Elle se prévaut également du rapport de confiance existant. A examiner la pièce incriminée (P. 8), la cour de céans constate qu'elle se désigne comme étant un paiement bancaire en Suisse (à) "exécuter le 07.05.15" , et précise qu'elle "ne remplace pas la confirmation de l'ordre par la banque". Une lecture attentive de ce document ─ qui, on l'a vu, emploie l'infinitif et non le passé composé ─, aurait donc permis à P.________ de s'apercevoir qu'il s'agissait d'un ordre de paiement en suspens et non pas d'une confirmation de paiement, comme désigné de manière imprécise par le tribunal au cours de l'audience du 7 mai 2015 (cf. p. 3, supra). Cela est d'autant plus vrai qu'P.________ était assistée par un avocat et représentée par son responsable du recouvrement. Ce dernier est censé connaître la portée de telles pièces justificatives et la procédure de paiement par E-banking est par ailleurs largement connue. En outre, connaissant les antécédents et la personnalité de l'intéressé ─ dont on rappelle qu'il était en train d'être jugé pour escroquerie, faux dans les titres et abus de confiance, notamment (cf. p. 2 supra) ─, P.________ aurait pu et dû faire preuve de la plus grande diligence. Dans ce contexte, elle ne saurait valablement invoquer le climat de confiance instauré par la convention judiciaire signée le matin. La tromperie dont a été victime P.________ n'était donc pas astucieuse.</w:t>
      </w:r>
    </w:p>
    <w:p>
      <w:r>
        <w:rPr>
          <w:b/>
        </w:rPr>
        <w:t>E. 3.3</w:t>
      </w:r>
    </w:p>
    <w:p>
      <w:r>
        <w:t>Faute d'astuce, les éléments constitutifs de l'infraction de l'art. 146 CP ne sont donc pas réalisés. Au vu de ce qui précède, on constate que si le prévenu était renvoyé en jugement, comme l'exige P.________, un acquittement serait plus probable qu’une condamnation. C'est donc à bon droit que le Ministère public a, par l'ordonnance attaquée, procédé au classement de la procédure pénale ouverte contre W.________.</w:t>
      </w:r>
    </w:p>
    <w:p>
      <w:r>
        <w:rPr>
          <w:b/>
        </w:rPr>
        <w:t>E. 4</w:t>
      </w:r>
    </w:p>
    <w:p>
      <w:r>
        <w:t>P.________ conteste le montant de la juste l'indemnité allouée pour les dépenses obligatoires occasionnées par la procédure.</w:t>
      </w:r>
    </w:p>
    <w:p>
      <w:r>
        <w:rPr>
          <w:b/>
        </w:rPr>
        <w:t>E. 4.1</w:t>
      </w:r>
    </w:p>
    <w:p>
      <w:r>
        <w:t>Le droit à une indemnité de l'art. 433 al. 1 let. b CPP est ouvert en l'espèce, dès lors que la tromperie dont le prévenu s'est rendu coupable constitue une faute civile justifiant qu'il soit condamné aux frais (art. 426 al. 2 CPP). Cela est conforme au droit et n'est pas contesté. Il n'y a pas lieu d'y revenir.</w:t>
      </w:r>
    </w:p>
    <w:p>
      <w:r>
        <w:rPr>
          <w:b/>
        </w:rPr>
        <w:t>E. 4.2</w:t>
      </w:r>
    </w:p>
    <w:p>
      <w:r>
        <w:t>La recourante, a conclu à ce qu'un montant de 6'060 fr. 95 lui soit alloué à titre d'indemnité de l'art. 433 CPP. Elle demande à ce titre 5'600 fr. pour les honoraires de son avocat de choix, Me Pierre-Olivier Wellauer, (soit 16 heures à 350 fr.), ainsi que 12 fr. de débours et 8 % de TVA. Pour justifier sa requête, elle se réfère à l'étude du jugement rendu le 8 mai 2015, à la rédaction d'une nouvelle plainte pénale, au travail généré par la procédure d'enquête, à la lettre rédigée après l'avis de prochaine clôture, ainsi qu'à un entretien et trois conférences téléphoniques. Dans son recours (cf. p. 10), elle se prévaut encore de "[…] diverses recherches juridiques (…) dans la perspective d'un potentiel recours", opérations qui auraient "pris un temps significatif" et auraient "été de nature à complexifier la présente enquête" . Le Ministère public a accordé une indemnité de 3'037 francs. Ce montant correspond à</w:t>
      </w:r>
    </w:p>
    <w:p>
      <w:r>
        <w:rPr>
          <w:b/>
        </w:rPr>
        <w:t>E. 8</w:t>
      </w:r>
    </w:p>
    <w:p>
      <w:r>
        <w:t>heures de travail à 350 fr., 12 fr. de débours et 8 % de TVA. Il est adéquat. Il prend correctement en compte la nature et la complexité de la présente cause. Il considère les seules opérations qui la concernent. Il doit être confirmé. La recourante ne dit d'ailleurs pas en quoi les huit heures supplémentaires réclamées seraient justifiées, sauf à se prévaloir de diverses démarches qui auraient pris un "temps significatif" . On observe cependant que son avocat a largement repris l'argumentaire de la plainte, tant dans sa lettre de trois pages rédigée après l'avis de prochaine clôture que dans son recours. 5. En définitive, le recours, manifestement mal fondé, doit être rejeté sans autres échanges d’écritures (art. 390 al. 2 CPP) et l'ordonnance du 8 janvier 2016 confirmée. Les frais de la procédure de recours, constitués en l'espèce du seul émolument d’arrêt, par 1'320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8 janvier 2016 est confirmée. III. Les frais de la procédure de recours, par 1'320 fr. (mille trois cent vingt francs), sont mis à la charge de la recourante. IV. Le présent arrêt est exécutoire. Le président :               La greffière : Du Le présent arrêt, dont la rédaction a été approuvée à huis clos, est notifié, par l'envoi d'une copie complète, à : - Me Pierre-Olivier Wellauer, avocat (pour P.________), - M.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