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110 vom 9. Februar 2016</w:t>
      </w:r>
    </w:p>
    <w:p>
      <w:r>
        <w:t>VD Tribunal cantonal, 2016-02-09, FR</w:t>
      </w:r>
    </w:p>
    <w:p>
      <w:r>
        <w:rPr>
          <w:b/>
        </w:rPr>
        <w:t xml:space="preserve">Quelle: </w:t>
      </w:r>
      <w:r>
        <w:t>https://mcp.opencaselaw.ch/entscheid/vd_findinfo_D_cision___2016___110</w:t>
      </w:r>
    </w:p>
    <w:p>
      <w:r>
        <w:t>FR: VD_FINDINFO Décision / 2016 / 110 du 9 février 2016</w:t>
      </w:r>
    </w:p>
    <w:p>
      <w:r>
        <w:t>IT: VD_FINDINFO Décision / 2016 / 110 del 9 febbraio 2016</w:t>
      </w:r>
    </w:p>
    <w:p>
      <w:pPr>
        <w:pStyle w:val="Heading2"/>
      </w:pPr>
      <w:r>
        <w:t>Regeste</w:t>
      </w:r>
    </w:p>
    <w:p>
      <w:r>
        <w:t>OPPOSITION TARDIVE | 354 CPP (CH), 90 CPP (CH), 91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w:t>
      </w:r>
    </w:p>
    <w:p>
      <w:r>
        <w:rPr>
          <w:b/>
        </w:rPr>
        <w:t>E. 2</w:t>
      </w:r>
    </w:p>
    <w:p>
      <w:r>
        <w:t>e éd., Bâle 2014, n. 2 ad art. 356 CPP; CREP 30 décembre 2014/925; CREP 24 septembre 2014/695). En l’espèce, le recours a été interjeté en temps utile devant l’autorité compétente par le prévenu, qui a qualité pour recourir (art. 382 al. 1 CPP), et dans les formes prescrites (art. 385 al. 1 CPP), de sorte qu’il est recevable.</w:t>
      </w:r>
    </w:p>
    <w:p>
      <w:r>
        <w:rPr>
          <w:b/>
        </w:rPr>
        <w:t>E. 2.1</w:t>
      </w:r>
    </w:p>
    <w:p>
      <w:r>
        <w:t>Le Ministère public peut rendre une ordonnance pénale lorsque les conditions prévues à l'art. 352 al. 1 CPP sont réunies.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w:t>
      </w:r>
    </w:p>
    <w:p>
      <w:r>
        <w:rPr>
          <w:b/>
        </w:rPr>
        <w:t>E. 2.2</w:t>
      </w:r>
    </w:p>
    <w:p>
      <w:r>
        <w:t>En l’espèce, l’ordonnance pénale a été notifiée au prévenu le 24 novembre 2015, comme cela ressort du relevé de suivi postal (P. 7). Le recourant ne le conteste du reste pas. Courant depuis le lendemain de la notification (art. 90 al. 1 CPP), le délai d’opposition a dès lors expiré le vendredi 4 décembre 2015. Déposée le 9 décembre 2015 seulement, l’opposition est donc manifestement tardive. A juste titre, le recourant l’admet expressément. Le recourant ne saurait par ailleurs se prévaloir de ce qu’il aurait cru que le délai légal d’opposition était de vingt jours dès lors que le délai de dix jours était expressément mentionné au pied de l’ordonnance pénale. Pour le surplus, le recourant n’a pas requis la restitution du délai d’opposition selon l’art. 94 CPP. Du reste, il découle de l’art. 94 al. 2, 1 re phrase, CPP qu’une telle demande aurait ici relevé de la compétence du Ministère public et non de celle de la Cour de céans. Enfin, les moyens de fond soulevés dans le recours sont irrecevables dans la présente procédure. C’est donc à juste titre que le tribunal de police a déclaré l’opposition irrecevable.</w:t>
      </w:r>
    </w:p>
    <w:p>
      <w:r>
        <w:rPr>
          <w:b/>
        </w:rPr>
        <w:t>E. 3</w:t>
      </w:r>
    </w:p>
    <w:p>
      <w:r>
        <w:t>En définitive, le recours, manifestement mal fondé, doit être rejeté sans autre échange d’écritures (art. 390 al. 2 CPP) et le prononcé du 18 janvier 2016 confirmé.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18 janvier 2016 est confirmé. III. Les frais d’arrêt, par 550 fr. (cinq cent cinquante francs), sont mis à la charge de X.________. IV. Le présent arrêt est exécutoire. Le président :               Le greffier : Du Le présent arrêt, dont la rédaction a été approuvée à huis clos, est notifié, par l'envoi d'une copie complète, à : - M. X.________, - Ministère public central, et communiqué à : - M. le Président du Tribunal de police de l’arrondissement de la Broye et du Nord vaudois,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