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11 vom 6. Januar 2016</w:t>
      </w:r>
    </w:p>
    <w:p>
      <w:r>
        <w:t>VD Tribunal cantonal, 2016-01-06, FR</w:t>
      </w:r>
    </w:p>
    <w:p>
      <w:r>
        <w:rPr>
          <w:b/>
        </w:rPr>
        <w:t xml:space="preserve">Quelle: </w:t>
      </w:r>
      <w:r>
        <w:t>https://mcp.opencaselaw.ch/entscheid/vd_findinfo_D_cision___2016___11</w:t>
      </w:r>
    </w:p>
    <w:p>
      <w:r>
        <w:t>FR: VD_FINDINFO Décision / 2016 / 11 du 6 janvier 2016</w:t>
      </w:r>
    </w:p>
    <w:p>
      <w:r>
        <w:t>IT: VD_FINDINFO Décision / 2016 / 11 del 6 gennaio 2016</w:t>
      </w:r>
    </w:p>
    <w:p>
      <w:pPr>
        <w:pStyle w:val="Heading2"/>
      </w:pPr>
      <w:r>
        <w:t>Regeste</w:t>
      </w:r>
    </w:p>
    <w:p>
      <w:r>
        <w:t>DÉTENTION PROVISOIRE, RISQUE DE FUITE, RISQUE DE COLLUSION | 221 al. 1 let. a CPP (CH), 221 al. 1 let. b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Le délai est également réputé observé si l'écrit parvient au plus tard le dernier jour du délai à une autorité suisse non compétente. Celle-ci transmet l'écrit sans retard à l'autorité pénale compétente (art. 91 al. 4 CPP) En l’espèce, il y a lieu d’entrer en matière sur le recours, qui a été interjeté en temps utile auprès du Ministère public qui l'a transmis à l’autorité compétente et qui satisfait aux conditions de forme posées par l’art. 385 al. 1 CPP.</w:t>
      </w:r>
    </w:p>
    <w:p>
      <w:r>
        <w:rPr>
          <w:b/>
        </w:rPr>
        <w:t>E. 2</w:t>
      </w:r>
    </w:p>
    <w:p>
      <w:r>
        <w:t>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op. cit., n. 3 ad art. 221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consid. 3c ; TF 1B_423/2010 du 17 janvier 2011 consid. 4.1 ; Piquerez, Traité de procédure pénale suisse, 2 e éd., Zurich 2006, n. 845 ; Schmocker, op. cit., n. 8 ad art. 221 CPP, p. 1025 : Forster, in : Niggli/Heer/Wiprächtiger [éd.], Basler Kommentar, Schweizerische Strafprozessordnung,</w:t>
      </w:r>
    </w:p>
    <w:p>
      <w:r>
        <w:rPr>
          <w:b/>
        </w:rPr>
        <w:t>E. 2.2</w:t>
      </w:r>
    </w:p>
    <w:p>
      <w:r>
        <w:t>En l'espèce, le prévenu a été interpellé alors qu'il était à bord d'une voiture qui contenait plus de deux cents flacons de produits provenant de la pharmacie [...]. En outre, des outils pouvant servir lors de cambriolages ont également été retrouvés dans l'habitacle de la voiture qu'il conduisait. Enfin, le lundi 21 décembre 2015, le prévenu et ses comparses, alors qu'ils se trouvaient dans l'Opel Astra susmentionnée, ont fait l'objet d'un contrôle à Vevey en raison de leur comportement suspect. Au vu de ce qui précède, il existe à ce stade de l'enquête une présomption suffisamment sérieuse de culpabilité à l'encontre de P.________.</w:t>
      </w:r>
    </w:p>
    <w:p>
      <w:r>
        <w:rPr>
          <w:b/>
        </w:rPr>
        <w:t>E. 3.1</w:t>
      </w:r>
    </w:p>
    <w:p>
      <w:r>
        <w:t>Le Tribunal des mesures de contrainte a retenu que le prévenu présentait un risque de fuite (art. 221 al. 1 let. a CPP).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consid. 3.1 ; TF 1B_145/2012 du 19 avril 2012 consid. 3.1 non publié aux ATF 138 IV 81). En l’espèce, le prévenu, ressortissant roumain, n’a aucun titre de séjour, ni aucune attache avec la Suisse. Il a d'ailleurs admis qu'il séjournait dans notre pays depuis seulement une semaine et que s'il venait à être libéré, il rejoindrait Annemasse (PV aud. du 24 décembre 2015). Au vu de ces éléments, il est fort à craindre qu’en cas de libération, P.________ disparaisse dans la clandestinité en vue de se soustraire à la procédure pénale engagée contre lui. Par conséquent, le risque de fuite est concret.</w:t>
      </w:r>
    </w:p>
    <w:p>
      <w:r>
        <w:rPr>
          <w:b/>
        </w:rPr>
        <w:t>E. 3.2</w:t>
      </w:r>
    </w:p>
    <w:p>
      <w:r>
        <w:t>Le Tribunal des mesures de contrainte a également estimé que le prévenu présentait un risque de collusion (art.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consid. 6.2 et 6.4) –, vise à garantir la constatation exacte et complète des faits. En l'espèce, des traces ADN de contact ont été trouvées sur les lieux du délit et doivent être analysées. De plus, d'autres cambriolages de pharmacie avec le même mode opératoire ont été commis durant la nuit du 23 au 24 décembre 2015 à [...] et à [...] où des traces de semelles ont été prélevées et des images de vidéosurveillance préservées. Ces indices doivent également être analysés afin de déterminer si ces infractions pourraient être mises en relation avec le prévenu et ses comparses. Enfin, les versions des différents protagonistes sont contradictoires quant à leur implication. Au vu des mesures d'enquête annoncées et des auditions qui devront être tenues, il y a lieu d'éviter que le prévenu n'entrave l'instruction en faisant disparaître des preuves ou en prenant contact avec ses comparses afin de convenir d'une version. Le risque de collusion s'oppose ainsi à la levée de la détention provisoire du prévenu.</w:t>
      </w:r>
    </w:p>
    <w:p>
      <w:r>
        <w:rPr>
          <w:b/>
        </w:rPr>
        <w:t>E. 3.3</w:t>
      </w:r>
    </w:p>
    <w:p>
      <w:r>
        <w:t>Aucune mesure de substitution n’est à même, en l’état, de prévenir les risques retenus (cf. art. 237 al. 1 CPP). La situation familiale du recourant ne saurait par ailleurs être un motif de libération.</w:t>
      </w:r>
    </w:p>
    <w:p>
      <w:r>
        <w:rPr>
          <w:b/>
        </w:rPr>
        <w:t>E. 4</w:t>
      </w:r>
    </w:p>
    <w:p>
      <w:r>
        <w:t>Concernant le respect du principe de la proportionnalité (art. 212 al. 3 CPP), il y a lieu de relever qu'il doit être examiné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Au vu des actes reprochés à P.________, de la peine qu'il encourt en cas de condamnation et des mesures d'investigation annoncées par le Ministère public, la durée de la détention subie à ce jour par le prévenu, soit moins d'un mois, demeure proportionnée.</w:t>
      </w:r>
    </w:p>
    <w:p>
      <w:r>
        <w:rPr>
          <w:b/>
        </w:rPr>
        <w:t>E. 5</w:t>
      </w:r>
    </w:p>
    <w:p>
      <w:r>
        <w:t>Il résulte de ce qui précède que le recours, manifestement mal fondé, doit être rejeté sans autres échanges d'écritures (art. 390 al. 2 CPP). Les frais de la procédure de recours, constitués en l’espèce du seul émolument d'arrêt, par 770 fr. (art. 20 al. 1 [tarif des frais judiciaires de procédure et indemnités en matière pénale du 28 septembre 2010; RSV 312.03.1]), seront mis à la charge de P.________ qui succombe (art. 428 al. 1 CPP). Par ces motifs, la Chambre des recours pénale prononce : I. Le recours est rejeté. II. L'ordonnance du 26 décembre 2015 est confirmée. III. Les frais d'arrêt, par 770 fr. (sept cent septante francs), sont mis à la charge du recourant. IV. Le présent arrêt est exécutoire . Le président :               La greffière : Du Le présent arrêt, dont la rédaction a été approuvée à huis clos, est notifié, par l'envoi d'une copie complète, à : - Me Inès Feldmann, avocate (pour P.________),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