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108 vom 12. Februar 2016</w:t>
      </w:r>
    </w:p>
    <w:p>
      <w:r>
        <w:t>VD Tribunal cantonal, 2016-02-12, FR</w:t>
      </w:r>
    </w:p>
    <w:p>
      <w:r>
        <w:rPr>
          <w:b/>
        </w:rPr>
        <w:t xml:space="preserve">Quelle: </w:t>
      </w:r>
      <w:r>
        <w:t>https://mcp.opencaselaw.ch/entscheid/vd_findinfo_D_cision___2016___108</w:t>
      </w:r>
    </w:p>
    <w:p>
      <w:r>
        <w:t>FR: VD_FINDINFO Décision / 2016 / 108 du 12 février 2016</w:t>
      </w:r>
    </w:p>
    <w:p>
      <w:r>
        <w:t>IT: VD_FINDINFO Décision / 2016 / 108 del 12 febbraio 2016</w:t>
      </w:r>
    </w:p>
    <w:p>
      <w:pPr>
        <w:pStyle w:val="Heading2"/>
      </w:pPr>
      <w:r>
        <w:t>Regeste</w:t>
      </w:r>
    </w:p>
    <w:p>
      <w:r>
        <w:t>INFRACTION, AFFAIRE CIVILE, NON-LIEU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et dans les formes prescrites (art. 385 al. 1 CPP), le recours est recevable.</w:t>
      </w:r>
    </w:p>
    <w:p>
      <w:r>
        <w:rPr>
          <w:b/>
        </w:rPr>
        <w:t>E. 2</w:t>
      </w:r>
    </w:p>
    <w:p>
      <w:r>
        <w:t>.2 L’art. 144 al. 1 CP dispose que celui qui aura endommagé, détruit ou mis hors d'usage une chose appartenant à autrui sera, sur plainte, puni d'une peine privative de liberté de trois ans au plus ou d'une peine pécuniaire. L'infraction est intentionnelle. Le dol éventuel suffit (Dupuis et alii, Petit commentaire, Code pénal, Bâle 2012, nn. 3, 11 et 16 ad art. 144 CP).</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w:t>
      </w:r>
    </w:p>
    <w:p>
      <w:r>
        <w:rPr>
          <w:b/>
        </w:rPr>
        <w:t>E. 2.3</w:t>
      </w:r>
    </w:p>
    <w:p>
      <w:r>
        <w:t>En l'espèce, il résulte du dossier qu'H.________ n'a jamais eu l'intention d'endommager la chose d'autrui. Tout au plus pourrait-il avoir fait preuve de négligence, laquelle est exclue du champ d'application de l'art. 144 CP. Dans son recours, P.________ ne conteste d'ailleurs pas l'absence d'infraction pénale. Il veut qu'H.________ soit obligé de faire réparer les dégâts par des professionnels, estimant à quelque 12'000 fr. le coût des travaux de maçonnerie et à environ 5'000 fr. celui les travaux de menuiserie nécessaires. Le litige est donc de nature purement civile et c'est à juste titre que le Ministère public a refusé d'entrer en matière. En l'absence de toute infraction pénale, le recourant ne peut pas faire valoir de conclusions civiles par adhésion à la procédure pénale (dont les conditions d'ouverture ne sont pas réalisées), mais doit s'adresser au juge civil.</w:t>
      </w:r>
    </w:p>
    <w:p>
      <w:r>
        <w:rPr>
          <w:b/>
        </w:rPr>
        <w:t>E. 3</w:t>
      </w:r>
    </w:p>
    <w:p>
      <w:r>
        <w:t>Manifestement mal fondé, le recours doit être rejeté sans autre échange d’écritures (art. 390 al. 2 CPP) et l’ordonnance attaquée confirmée. Dès lors que le recours apparaissait d'emblée dénué de chances de succès (art. 136 al. 1 let. b CPP a contrario) , le droit à l'assistance judiciaire gratuite pour la procédure de recours n'est pas ouvert et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12 janvier 2016 est confirmée. III. Les frais de la procédure de recours, par 550 fr. (cinq cent cinquante francs), sont mis à la charge du recourant. IV. Le présent arrêt est exécutoire. Le président :               La greffière : Du Le présent arrêt, dont la rédaction a été approuvée à huis clos, est notifié, par l'envoi d'une copie complète, à : - P.________, - Ministère public central, et communiqué à : - H.________,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