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103 vom 5. Februar 2016</w:t>
      </w:r>
    </w:p>
    <w:p>
      <w:r>
        <w:t>VD Tribunal cantonal, 2016-02-05, FR</w:t>
      </w:r>
    </w:p>
    <w:p>
      <w:r>
        <w:rPr>
          <w:b/>
        </w:rPr>
        <w:t xml:space="preserve">Quelle: </w:t>
      </w:r>
      <w:r>
        <w:t>https://mcp.opencaselaw.ch/entscheid/vd_findinfo_D_cision___2016___103</w:t>
      </w:r>
    </w:p>
    <w:p>
      <w:r>
        <w:t>FR: VD_FINDINFO Décision / 2016 / 103 du 5 février 2016</w:t>
      </w:r>
    </w:p>
    <w:p>
      <w:r>
        <w:t>IT: VD_FINDINFO Décision / 2016 / 103 del 5 febbraio 2016</w:t>
      </w:r>
    </w:p>
    <w:p>
      <w:pPr>
        <w:pStyle w:val="Heading2"/>
      </w:pPr>
      <w:r>
        <w:t>Regeste</w:t>
      </w:r>
    </w:p>
    <w:p>
      <w:r>
        <w:t>FRAIS DE LA PROCÉDURE | 426 al. 2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Lorsque, comme en l’espèce, le recours porte uniquement sur les conséquences économiques accessoires d'une décision et que le montant litigieux   – ici 150 fr. – ne dépasse pas 5'000 fr., un juge de la Cour de céans statue comme juge unique (art. 395 let. b CPP et 13 al. 2 LVCPP).</w:t>
      </w:r>
    </w:p>
    <w:p>
      <w:r>
        <w:rPr>
          <w:b/>
        </w:rPr>
        <w:t>E. 1.2</w:t>
      </w:r>
    </w:p>
    <w:p>
      <w:r>
        <w:t>Interjeté dans le délai légal, par une partie astreinte au paiement des frais qui a qualité pour recourir (art. 382 al. 1 CPP), et satisfaisant aux conditions de forme posées par la loi (cf. art. 385 al. 1 CPP), le recours est recevable.</w:t>
      </w:r>
    </w:p>
    <w:p>
      <w:r>
        <w:rPr>
          <w:b/>
        </w:rPr>
        <w:t>E. 2.1</w:t>
      </w:r>
    </w:p>
    <w:p>
      <w:r>
        <w:t>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RS 101) et 6 ch. 2 CEDH (Convention du 4 novembre 1950 de sauvegarde des droits de l’homme et des libertés fondamentales;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RS 220) (TF 6B_99/2011 du 13 septembre 2011 consid. 5.1; Chappuis, in : Kuhn/Jeanneret [éd.], Commentaire romand, Code de procédure pénale suisse, Bâle 2011, n. 2 ad art. 426 CPP) – et a provoqué ainsi l’ouverture d’une enquête pénale ou compliqué celle-ci (TF 6B_87/2012 précité consid. 1.2). Seul un comportement fautif et contraire à une règle juridique, qui soit en relation de causalité avec les frais imputés, entre en ligne de compte (TF 6B_387/2009 du 20 octobre 2009 consid. 1.1; TF 6B_215/2009 du 23 juin 2009 consid. 2.2).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consid. 5.1.2 et les références citées). En outre, le juge doit fonder sa décision sur des faits incontestés ou déjà clairement établis (ATF 112 Ia 371 consid. 2a; TF 6B_87/2012 précité consid. 1.2).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du 27 avril 2012 consid. 1.2; TF 1B_21/2012 du 27 mars 2012 consid. 2.1; CREP 16 septembre 2013/578 consid. 2a et les références citées).</w:t>
      </w:r>
    </w:p>
    <w:p>
      <w:r>
        <w:rPr>
          <w:b/>
        </w:rPr>
        <w:t>E. 2.2</w:t>
      </w:r>
    </w:p>
    <w:p>
      <w:r>
        <w:t>En l’espèce, la procureure a considéré qu’aucune infraction n'était réalisée, s'agissant du pistolet Glock, acquis légalement, et du pistolet « soft air » KWC, acquis avant le 12 décembre 2008. Concernant ensuite le bâton tactique, la magistrate a estimé que la prescription était acquise au prévenu, en application du principe de la lex mitior au sens de l'art. 2 al. 2 CP (Code pénal; RS 311.0), qui prévoit l'application du délai de prescription de sept ans au sens de l'art. 97 al.1 let. c aCP pour les faits incriminés sous l’angle de la LArm, d’où le classement rendu en faveur du prévenu. Pour ce qui est des accessoires, la procureure a considéré que, le prévenu ayant provoqué l'ouverture de la procédure de manière illicite et fautive, les frais de la présente procédure devaient être mis à sa charge. Le recourant soutient que l’ordonnance ne serait pas suffisamment motivée, dès lors qu’elle n’explique pas en quoi il aurait provoqué l’ouverture de la procédure de manière illicite et fautive. Il en déduit que les conditions d’une mise à sa charge des frais de procédure selon l’art. 426 al. 2 CPP ne seraient pas réunies.</w:t>
      </w:r>
    </w:p>
    <w:p>
      <w:r>
        <w:rPr>
          <w:b/>
        </w:rPr>
        <w:t>E. 2.3</w:t>
      </w:r>
    </w:p>
    <w:p>
      <w:r>
        <w:t>Ces griefs tombent à faux. Le recourant a provoqué l’ouverture de la procédure, soit en l’espèce l’extension de la procédure pénale pour infraction à la LArm, en raison du fait qu’il était en possession notamment d’un bâton tactique. Selon la loi fédérale sur les armes – et cela déjà avant le 12 décembre 2008 déjà –, un tel objet est en effet une arme soumise à une autorisation d'acquisition exceptionnelle. Or le prévenu n’était pas autorisé à posséder cette arme, dès lors qu’il n’avait pas d’autorisation d’acquisition au sens de l’art. 12 LArm. Si une condamnation selon les dispositions pénales de la LArm (art. 33 al. 1 let. a LArm) est exclue en raison de la prescription, on ne se trouve pas moins en présence d’un comportement illicite et fautif au regard des dispositions de droit public de la LArm. Cette violation de l’ordre juridique a provoqué l’ouverture de ce volet de l’instruction pénale et est en relation de causalité avec les frais de procédure ainsi provoqués. Ces motifs sont parfaitement clairs à la lecture de l’ordonnance attaquée. Il s’ensuit que tant le grief de violation du droit d’être entendu que le grief de fond doivent être rejetés. Force est ainsi de constater que, par un comportement illicite et fautif au sens des normes applicables, le recourant a provoqué l’ouverture, soit l’extension, de la procédure instruite contre lui en tant qu’elle l’est pour infraction à la loi fédérale sur les armes. C’est donc à juste titre que la procureure a mis à sa charge les frais de ce volet de la procédure ouverte contre lui.</w:t>
      </w:r>
    </w:p>
    <w:p>
      <w:r>
        <w:rPr>
          <w:b/>
        </w:rPr>
        <w:t>E. 3</w:t>
      </w:r>
    </w:p>
    <w:p>
      <w:r>
        <w:t>Il résulte de ce qui précède que le recours, manifestement mal fondé, doit être rejeté et l'ordonnance entreprise confirmée. Les frais de la procédure de recours, constitués en l’espèce de l’émolument d'arrêt, par 540 fr. (art. 20 al. 1 TFIP [Tarif des frais de procédure et indemnités en matière pénale du 28 septembre 2010; RSV 312.03.1]), et des frais imputables à la défense d’office (art. 422 al. 1 et 2 let. a CPP), fixés à 270 fr., plus la TVA, par 21 fr. 60, soit un total de 291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le juge unique prononce : I. Le recours est rejeté. II. L’ordonnance du 19 janvier 2016 est confirmée. III. L’indemnité allouée au défenseur d’office du recourant est fixée à 291 fr. 60 (deux cent nonante et un francs et soixante centimes). IV. Les frais d’arrêt, par 540 fr. (cinq cent quarante francs), ainsi que l’indemnité due au défenseur d’office du recourant, par 291 fr. 60 (deux cent nonante et un francs et soixante centimes), sont mis à la charge de ce dernier. V. Le remboursement à l’Etat de l’indemnité allouée au chiffre III ci-dessus sera exigible pour autant que la situation économique du recourant se soit améliorée VI. Le présent arrêt est exécutoire. Le juge unique :               Le greffier : Du Le présent arrêt, dont la rédaction a été approuvée à huis clos, est notifié, par l'envoi d'une copie complète, à : - Me Raphaël Tatti, avocat (pour E.________),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