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 vom 4. Januar 2016</w:t>
      </w:r>
    </w:p>
    <w:p>
      <w:r>
        <w:t>VD Tribunal cantonal, 2016-01-04, FR</w:t>
      </w:r>
    </w:p>
    <w:p>
      <w:r>
        <w:rPr>
          <w:b/>
        </w:rPr>
        <w:t xml:space="preserve">Quelle: </w:t>
      </w:r>
      <w:r>
        <w:t>https://mcp.opencaselaw.ch/entscheid/vd_findinfo_D_cision___2016___10</w:t>
      </w:r>
    </w:p>
    <w:p>
      <w:r>
        <w:t>FR: VD_FINDINFO Décision / 2016 / 10 du 4 janvier 2016</w:t>
      </w:r>
    </w:p>
    <w:p>
      <w:r>
        <w:t>IT: VD_FINDINFO Décision / 2016 / 10 del 4 gennaio 2016</w:t>
      </w:r>
    </w:p>
    <w:p>
      <w:pPr>
        <w:pStyle w:val="Heading2"/>
      </w:pPr>
      <w:r>
        <w:t>Regeste</w:t>
      </w:r>
    </w:p>
    <w:p>
      <w:r>
        <w:t>DÉCISION SUR OPPOSITION, OPPOSITION{PROCÉDURE}, DÉFAUT{CONTUMACE}, JUGEMENT PAR DÉFAUT | 356 al. 2 CPP (CH), 356 al. 4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20 février 2015/143 ; CREP 27 septembre 2012/670). Ce recours s’exerce auprès de l’autorité de recours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RSV 173.01]). Le recours doit être adressé par écrit, dans un délai de dix jours dès la notification de la décision attaquée (cf. art. 384 let. b CPP), à l’autorité de recours (art. 396 al. 1 CPP). En l’espèce, en tant qu’il constate le retrait de l’opposition formée par A.K.________ contre l’ordonnance pénale du 20 octobre 2014, le prononcé du 27 août 2015 est susceptible de faire l’objet d’un recours au sens des art. 393 ss CPP. Dès lors que la désignation inexacte d’une voie de recours est sans effet sur sa validité (cf. art. 385 al. 3 CPP), il y a lieu de considérer que l’appel interjeté par A.K.________ peut être converti en recours. Au reste, le recours a été interjeté en temps utile devant l’autorité compétente par une partie qui a qualité pour recourir (art. 382 al. 1 CPP), de sorte qu’il est recevable.</w:t>
      </w:r>
    </w:p>
    <w:p>
      <w:r>
        <w:rPr>
          <w:b/>
        </w:rPr>
        <w:t>E. 1.2</w:t>
      </w:r>
    </w:p>
    <w:p>
      <w:r>
        <w:t>L'art. 395 let. a CPP prévoit que, si l’autorité de recours est un tribunal collégial – ce qui est le cas de la Chambre des recours pénale, laquelle statue à trois juges (art. 67 al. 1 let. 1 LOJV ; art. 12 al. 1 ROTC [règlement organique du Tribunal cantonal ; RSV 173.31.1]) –, sa direction de la procédure statue seule sur le recours lorsqu’il porte exclusivement sur des contraventions. En l’espèce, l'ordonnance préfectorale du 20 octobre 2014 réprime en particulier la violation des art. 4a al. 1 OCR (ordonnance sur les règles de la circulation routière; RS 741.11) et 27 LCR en lien avec l’art. 90 al. 1 LCR. Il s'agit là d’une contravention. Le jugement attaqué a pour seul objet l'ordonnance préfectorale. Partant, la cause ressortit à la compétence du juge unique.</w:t>
      </w:r>
    </w:p>
    <w:p>
      <w:r>
        <w:rPr>
          <w:b/>
        </w:rPr>
        <w:t>E. 2.1</w:t>
      </w:r>
    </w:p>
    <w:p>
      <w:r>
        <w:t>Le recourant fait valoir, pièces à l’appui, qu’il réside désormais en Thaïlande et non plus en Suisse, de sorte que le premier juge ne pouvait pas considérer que son opposition était retirée du seul fait de son absence à l’audience.</w:t>
      </w:r>
    </w:p>
    <w:p>
      <w:r>
        <w:rPr>
          <w:b/>
        </w:rPr>
        <w:t>E. 2.2</w:t>
      </w:r>
    </w:p>
    <w:p>
      <w:r>
        <w:t>Les art. 201 à 206 CPP règlent le mandat de comparution. En particulier, quiconque est cité à comparaître par une autorité pénale est tenu de donner suite à un tel mandat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De même, selon l’art. 356 al. 4 CPP, qui déroge aux art. 366 ss CPP relatifs à la procédure par défaut (Moreillon/Parein-Reymond, Petit commentaire, Code de procédure pénale, Bâle 2013, n. 16 ad art. 356 CPP), si l'opposant fait défaut aux débats sans être excusé et sans se faire représenter,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140 IV 82 consid. 2.4 ; TF 6B_328/2014 du 20 janvier 2015 consid. 2.1).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de sauvegarde des droits de l’homme et des libertés fondamentales du 4 novembre 1950 ; RS 0.101]). Au vu de l'importance fondamentale du droit d'opposition au regard de ces garanties, un retrait de l'opposition par acte concluant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(ATF 140 IV 82 consid. 2.3 et 2.5 ; CREP 11 février 2015/110 et CREP 14 avril 2015/253).</w:t>
      </w:r>
    </w:p>
    <w:p>
      <w:r>
        <w:rPr>
          <w:b/>
        </w:rPr>
        <w:t>E. 2.3</w:t>
      </w:r>
    </w:p>
    <w:p>
      <w:r>
        <w:t>En l’espèce, c’est à tort que le premier juge a fait application de la procédure par défaut à la suite de l’absence du prévenu à l’audience du 26 février 2015, dès lors que, comme l’a vu, l’art. 356 al. 4 CPP déroge précisément aux art. 366 ss CPP. C’est également à tort qu’il n’a pas tenu compte des principes posés par le Tribunal fédéral dans sa jurisprudence relative aux conditions de la fiction légale de retrait de l’opposition découlant d’une absence de l’opposant (cf. ATF 140 IV 82 consid. 2.3 et 2.5). Il était pourtant manifeste que le recourant ne s’était pas désintéressé à la procédure. Comme cela ressort du procès-verbal de l’audience du 26 février 2015 tenue par le premier juge (cf. p. 2), le recourant réside en Thaïlande, ce qui est confirmé par les pièces produites au dossier. Dans ce contexte particulier, on doit admettre que le recourant, renvoyé en jugement pour une simple contravention et ayant pris le soin de se faire représenter par un avocat, ne saurait se voir appliquer l’art. 356 al. 4 CPP. Il était ainsi valablement excusé et représenté, de sorte que le premier juge était tenu de procéder conformément à l’art. 356 al. 2 CPP.</w:t>
      </w:r>
    </w:p>
    <w:p>
      <w:r>
        <w:rPr>
          <w:b/>
        </w:rPr>
        <w:t>E. 3</w:t>
      </w:r>
    </w:p>
    <w:p>
      <w:r>
        <w:t>Il résulte de ce qui précède que le recours doit être admis, sans qu’il ne soit nécessaire d’examiner les autres moyens soulevés par le recourant, et le prononcé du 27 août 2015 annulé. Le dossier de la cause sera renvoyé au Tribunal de police de l'arrondissement de Lausanne pour qu'il procède dans le sens du considérant qui précède. Les frais de la procédure de recours, constitués en l’espèce du seul émolument d'arrêt (art. 422 al. 1 CPP), par 630 fr. (art. 20 al. 1 TFIP [tarif des frais de procédure et indemnités en matière pénale; RSV 312.03.1]), seront laissés à la charge de l’Etat (art. 428 al. 4 CPP). Il n'y a pas lieu, à ce stade de la procédure, d'allouer une indemnité pour la procédure de recours, conformément à la jurisprudence selon laquelle une indemnité ne peut être réclamée par le prévenu pour l'exercice raisonnable de ses droits de procédure, aux conditions de l'art. 429 CPP, qu'à la fin de la procédure et à l'autorité pénale qui procède à l'abandon de la poursuite pénale par un acquittement total ou partiel ou une ordonnance de classement (CREP 13 avril 2015/244 ; CREP 10 janvier 2013/15 ; CREP 11 juin 2012/403). Par ces motifs, le juge unique prononce : I. Le recours est admis. II. Le prononcé du 27 août 2015 est annulé. III. Le dossier de la cause est renvoyé au Tribunal de police de l'arrondissement de Lausanne pour qu'il procède dans le sens des considérants. IV. Les frais d’arrêt, par 630 fr. (six cent trente francs), sont laissés à la charge de l’Etat. V. Le présent arrêt est exécutoire. Le juge unique :               Le greffier : Du Le présent arrêt, dont la rédaction a été approuvée à huis clos, est notifié, par l'envoi d'une copie complète, à : - Me Jean-Emmanuel Rossel, avocat (pour A.K.________), - Ministère public central, et communiqué à :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