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99 vom 30. Januar 2015</w:t>
      </w:r>
    </w:p>
    <w:p>
      <w:r>
        <w:t>VD Tribunal cantonal, 2015-01-30, FR</w:t>
      </w:r>
    </w:p>
    <w:p>
      <w:r>
        <w:rPr>
          <w:b/>
        </w:rPr>
        <w:t xml:space="preserve">Quelle: </w:t>
      </w:r>
      <w:r>
        <w:t>https://mcp.opencaselaw.ch/entscheid/vd_findinfo_D_cision___2015___99</w:t>
      </w:r>
    </w:p>
    <w:p>
      <w:r>
        <w:t>FR: VD_FINDINFO Décision / 2015 / 99 du 30 janvier 2015</w:t>
      </w:r>
    </w:p>
    <w:p>
      <w:r>
        <w:t>IT: VD_FINDINFO Décision / 2015 / 99 del 30 gennaio 2015</w:t>
      </w:r>
    </w:p>
    <w:p>
      <w:pPr>
        <w:pStyle w:val="Heading2"/>
      </w:pPr>
      <w:r>
        <w:t>Regeste</w:t>
      </w:r>
    </w:p>
    <w:p>
      <w:r>
        <w:t>CLASSEMENT DE LA PROCÉDURE, RÉCUSATION | 319 CPP (CH), 56 CPP (CH), 59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Z.________ à l'encontre du Procureur Q.________ (art. 13 LVCPP).</w:t>
      </w:r>
    </w:p>
    <w:p>
      <w:r>
        <w:rPr>
          <w:b/>
        </w:rPr>
        <w:t>E. 2.1</w:t>
      </w:r>
    </w:p>
    <w:p>
      <w:r>
        <w:t>La requérante demande la récusation du procureur en l’accusant notamment de « copinage avec les deux policiers ».</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6B_621/2011 du 19 décembre 2011 c. 2.2). La garantie d'un tribunal indépendant et impartial instituée par les art. 30 al. 1 Cst. (Constitution fédérale de la Confédération suisse du 18 avril 1999 ; RS 101) et 6 par. 1 CEDH (Convention du</w:t>
      </w:r>
    </w:p>
    <w:p>
      <w:r>
        <w:rPr>
          <w:b/>
        </w:rPr>
        <w:t>E. 2.3</w:t>
      </w:r>
    </w:p>
    <w:p>
      <w:r>
        <w:t>En l’espèce, les griefs soulevés par la recourante à l’encontre du Procureur Q.________ sont fondés sur une appréciation tout à fait subjective liée principalement au classement de la procédure ouverte aux fins d’éclaircir les circonstances de l’intervention de police. En l'absence de circonstances objectives qui feraient redouter une activité partiale du procureur et une décision défavorable n’emportant pas prévention, aucun motif de récusation au sens de l'art. 56 CPP n'est réalisé en l'espèce. 3. Il résulte de ce qui précède que la demande de récusation présentée par Z.________ doit être rejetée. III. Recours contre l’ordonnance de classement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3. 3.1 La recourante soutient implicitement que l’infraction d’abus d’autorité serait réalisée. 3.2 Aux termes de l’art. 312 CP, se rendent coupables d'une telle infraction les membres d'une autorité et les fonctionnaires qui, dans le dessein de se procurer ou de procurer à un tiers un avantage illicite, ou dans le dessein de nuire à autrui, auront abusé des pouvoirs de leur charge.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 et al. [éd.], Petit commentaire, Code pénal, Bâle 2012, n. 3 ad art. 312 CP). Il y a abus lorsque l’auteur use d’une façon non permise de ses pouvoirs officiels, c’est-à-dire qu’en vertu de sa charge, il en dispose – avec effets obligatoires – en dépassant les limites de ce que ses pouvoirs lui permettent (ATF 127 IV 209 c. 1b, JT 2003 IV 117). 3.3 En l’espèce, à l’instar du Procureur, on ne saurait reprocher à l’agente N.________ et à l’appointé T.________ d’avoir abusé de leur charge en prenant la décision de menotter la recourante. En effet, de toute évidence, entraver une personne agressive qui menace de se suicider entre dans la mission de la police qui consiste, entres autres, à protéger les individus, y compris contre eux-mêmes. L’intervention au domicile de la recourante a été dictée par le fait qu’elle menaçait de s’en prendre à sa propre intégrité physique. A cela s’ajoute que Z.________ a elle-même admis lors de l’audition du 15 août 2014 qu’elle avait bu 1.5 litre de rosé d’une traite et qu’elle était très agitée. Par ailleurs, il ressort de l’attestation médicale établie par le Dr [...], psychiatre, que la recourante souffre d’un trouble affectif bipolaire, qui l’amène à souffrir d’importantes variations de l’humeur ou du moral (P. 10). Au demeurant, il semble que la recourante n’ait pas une vision claire des évènements survenus puisqu’elle dit, toujours dans son audition du 15 août 2015, « Vous me dites que c’est moi qui ai fait appel à la police. Il me semble que ce sont des amies à moi. Tout compte fait, c’est peut-être moi » (PV aud. 1 p. 2, lignes 62). Elle a encore ajouté : « Vous me demandez si j’ai peut-être oublié les propos que j’ai tenus. Oui, peut-être. D’ailleurs, même si j’ai tenu les propos qui me sont reprochés, les policiers ont des primes d’inconvénients. Ils sont payés pour ça» (PV aud. 1 p. 3, lignes 84 ss). Face à une personne sous l’influence de l’alcool, très agitée voire désorientée, les policiers ont agi dans le but de la protéger d’elle-même et dans le but d’assurer leur propre sécurité. On ne saurait donc lui reprocher un quelconque abus d’autorité.</w:t>
      </w:r>
    </w:p>
    <w:p>
      <w:r>
        <w:rPr>
          <w:b/>
        </w:rPr>
        <w:t>E. 4</w:t>
      </w:r>
    </w:p>
    <w:p>
      <w:r>
        <w:t>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du 21 mai 2013 c. 2.1; TF 1B_365/2009 du 22 mars 2010 c. 3.3) ou un refus d'administrer une preuve (ATF 116 Ia 135; Verniory, in : Kuhn/ Jeanneret, Commentaire romand, Code de procédure pénale suisse, Bâle 2011, n. 35 ad art. 56 CPP).</w:t>
      </w:r>
    </w:p>
    <w:p>
      <w:r>
        <w:rPr>
          <w:b/>
        </w:rPr>
        <w:t>E. 4.1</w:t>
      </w:r>
    </w:p>
    <w:p>
      <w:r>
        <w:t>La recourante se plaint également d’avoir subi des lésions lors de l’intervention des policiers qu’elle juge disproportionnée.</w:t>
      </w:r>
    </w:p>
    <w:p>
      <w:r>
        <w:rPr>
          <w:b/>
        </w:rPr>
        <w:t>E. 4.2</w:t>
      </w:r>
    </w:p>
    <w:p>
      <w:r>
        <w:t>L’art. 123 ch. 1 CP dispose que celui qui, intentionnellement, aura fait subir à une personne une autre atteinte à l'intégrité corporelle ou à la santé sera, sur plainte, puni d’une peine privative de liberté de trois ans au plus ou d’une peine pécuniaire.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Code pénal I, Bâle 2009, n. 5 ad art. 14-18 CP, p. 172 et les références citées). Conformément à l'art. 14 CP (Code pénal suisse du 21 décembre 1937, RS 311.0),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n'aurait pas pu ou dû se contenter d'avoir recours à des moyens moins dommageables (Monnier, Commentaire romand, Code pénal I, Bâle 2009, n. 5 ad art. 14-18 CP, p. 172 et les références citées). Il était déjà acquis, aux termes de la jurisprudence et de la doctrine,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LPol (loi cantonale vaudoise du 17 novembre 1975 sur la police cantonale; RSV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S'agissant de la Police Municipale de Lausanne, le Règlement général de la police de la commune de Lausanne, du 27 novembre 2001, dispose à son art. 7 al. 1 que la police locale ressortit à la Municipalité qui assure l'exécution du Règlement et veille à son application, par l'entremise du corps de police et des fonctionnaires qu'elle désigne à cet effet et précise à son art. 8 que l'usage de la force devra être proportionné aux circonstances et devra être l'ultime moyen de contrainte.</w:t>
      </w:r>
    </w:p>
    <w:p>
      <w:r>
        <w:rPr>
          <w:b/>
        </w:rPr>
        <w:t>E. 4.3</w:t>
      </w:r>
    </w:p>
    <w:p>
      <w:r>
        <w:t>En l’espèce, l’attestation médicale établie par le Dr [...], psychiatre, fait mention d’hématomes aux deux poignets d’un diamètre d’environ trois à quatre centimètres (P. 10). Toutefois, comme le Procureur l’a relevé à juste titre, l’agente N.________ et l’appointé T.________ ont été pris à partie dès leur arrivée par la recourante, sous l’influence de l’alcool, et dont l’agitation était telle qu’elle s’en est même pris physiquement à l’agente N.________ en lui saisissant les deux mains et en essayant de lui donner un coup de pied, de sorte que la seule solution qui s’imposait en attendant l’arrivée du médecin de garde était de la menotter. Dans ces circonstances, on ne peut que constater que l’usage de la force était proportionné et licite.</w:t>
      </w:r>
    </w:p>
    <w:p>
      <w:r>
        <w:rPr>
          <w:b/>
        </w:rPr>
        <w:t>E. 5</w:t>
      </w:r>
    </w:p>
    <w:p>
      <w:r>
        <w:t>Au vu de ce qui précède, c’est à juste titre que le procureur a considéré que les policiers avaient agi de manière proportionnée et qu’il a classé la procédure ouverte aux fins d’éclaircir les circonstances de l’intervention de police. IV. Conclusions En définitive, la requête de récusation et le recours déposés par Z.________ doivent être rejetés et l’ordonnance de classement du 5 janvier 2015 doit être confirmée. Les frais de la procédure de recours, constitués en l’espèce du seul émolument d’arrêt (art. 422 al. 1 CPP), par 1’210 fr. (art. 20 al. 1 TFIP [Tarif des frais de procédure et indemnités en matière pénale du 28 septembre 2010; RSV 312.03.1]), seront mis à la charge de la recourante, qui succombe (art. 428 al. 1 CPP). Par ces motifs, la Chambre des recours pénale prononce : I. La requête de récusation est rejetée. II. Le recours est rejeté. III. L’ordonnance du 5 janvier 2015 est confirmée. IV. Les frais d’arrêt, par 1'210 fr. (mille deux cent dix francs) sont mis à la charge de Z.________. V. Le présent arrêt est exécutoire. Le président :               La greffière : Du Le présent arrêt, dont la rédaction a été approuvée à huis clos, est notifié, par l'envoi d'une copie complète, à : - Mme Z.________, - Mme N.________, - M.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