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979 vom 17. Dezember 2015</w:t>
      </w:r>
    </w:p>
    <w:p>
      <w:r>
        <w:t>VD Tribunal cantonal, 2015-12-17, FR</w:t>
      </w:r>
    </w:p>
    <w:p>
      <w:r>
        <w:rPr>
          <w:b/>
        </w:rPr>
        <w:t xml:space="preserve">Quelle: </w:t>
      </w:r>
      <w:r>
        <w:t>https://mcp.opencaselaw.ch/entscheid/vd_findinfo_D_cision___2015___979</w:t>
      </w:r>
    </w:p>
    <w:p>
      <w:r>
        <w:t>FR: VD_FINDINFO Décision / 2015 / 979 du 17 décembre 2015</w:t>
      </w:r>
    </w:p>
    <w:p>
      <w:r>
        <w:t>IT: VD_FINDINFO Décision / 2015 / 979 del 17 dicembre 2015</w:t>
      </w:r>
    </w:p>
    <w:p>
      <w:pPr>
        <w:pStyle w:val="Heading2"/>
      </w:pPr>
      <w:r>
        <w:t>Regeste</w:t>
      </w:r>
    </w:p>
    <w:p>
      <w:r>
        <w:t>AVOCAT, MESURE DISCIPLINAIRE, CONFLIT D'INTÉRÊTS, DILIGENCE | 12 let. a LLCA, 12 let. c LLCA, 17 al. 1 LLCA</w:t>
      </w:r>
    </w:p>
    <w:p>
      <w:pPr>
        <w:pStyle w:val="Heading2"/>
      </w:pPr>
      <w:r>
        <w:t>Erwägungen</w:t>
      </w:r>
    </w:p>
    <w:p>
      <w:r>
        <w:rPr>
          <w:b/>
        </w:rPr>
        <w:t>E. 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Elle se saisit d'office, sur plainte ou sur dénonciation, de toute question concernant l'activité professionnelle d'un avocat (art. 10 al. 1 LPAv).</w:t>
      </w:r>
    </w:p>
    <w:p>
      <w:r>
        <w:rPr>
          <w:b/>
        </w:rPr>
        <w:t>E. 2.1</w:t>
      </w:r>
    </w:p>
    <w:p>
      <w:r>
        <w:t>Parmi les règles professionnelles que doit respecter l'avocat, l'art. 12 LLCA prévoit que celui-ci doit exercer son activité professionnelle avec soin et diligence (let. a), en toute indépendance, en son nom personnel et sous sa propre responsabilité (let. b) et éviter tout conflit entre les intérêts de son client et ceux des personnes avec lesquelles il est en relation sur le plan professionnel ou privé (let. c). La clause générale de l'art. 12 let. a LLCA dispose que l'avocat "exerce sa profession avec soin et diligence". Elle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Selon la jurisprudence, l’avocat doit observer certaines règles non seulement dans ses rapports avec ses clients, mais aussi à l’égard des autorités, de ses confrères et du public en général (ATF 130 II 270 c. 3.2; TF 2C_177/2007 du 19 octobre 2007 c. 5.1; TF 2A.191/2003 du 22 janvier 2004, confirmé in TF 2A.448/2003 du 3 août 2004), voire avec la partie adverse (TF 2A.191/2003 précité; Bohnet/Martenet, Droit de la profession d’avocat, Berne 2009, n. 1161 p. 500). L'interdiction de plaider en cas de conflit d'intérêt est une règle cardinale de la profession d'avocat, qui découle de l'obligation d'indépendance ainsi que du devoir de diligence de avocat (TF 2C_889/2008 du 21 juillet 2009 précité, c. 3.1.3; Bohnet/Martenet, op. cit.,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Grobecki/Jeandin, op. cit., pp. 113-115). L'acceptation d'un mandat contre un ancien client pose une double problématique: le devoir de fidélité et le secret professionnel. Avant d'accepter un mandat contre un ancien client, l'avocat devra ainsi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identiques, et plus le client pourra considérer que la constitution de son ancien avocat à son encontre revêt un caractère choquant et qu'il en résulte une situation de conflit d'intérêts. Une prudence particulière s'impose dès lors à l'avocat: il en va de sa crédibilité, de sa fonction et de son rôle vis-à-vis des clients, du public et du pouvoir judiciaire (Valticos, Commentaire Romand de la LLCA, nn. 174-176 ad art. 12 LLCA).</w:t>
      </w:r>
    </w:p>
    <w:p>
      <w:r>
        <w:rPr>
          <w:b/>
        </w:rPr>
        <w:t>E. 2.2</w:t>
      </w:r>
    </w:p>
    <w:p>
      <w:r>
        <w:t>En l'espèce, Me L.________ a été consulté en janvier 2015 par A.________ afin d'examiner la possibilité de contester la résiliation de son bail à loyer. Celle-ci a finalement admis la résiliation et emménagé le 17 février 2015 dans un EMS. Le mandat de Me L.________ a dès lors pris fin et une note d'honoraires finale a été adressée au curateur de la cliente le 20 février suivant. Le 23 mars 2015, Me L.________ a écrit à Me P.________ au nom et pour le compte de N.________, en soutenant qu'il habitait dans l'appartement d'A.________ en vertu d'un contrat de sous-location. Pour son client N.________, il a adressé à la Commission de conciliation en matière de baux à loyer une requête dirigée contre A.________, représentée par son curateur, afin de contester la résiliation de bail notifiée à son client. En acceptant de défendre N.________ contre son ancienne cliente A.________, près d'un mois après la résiliation du mandat et dans le même complexe de faits que celui pour lequel il a été consulté par cette dernière, il est évident que Me L.________ s'est mis dans une situation de conflit d'intérêts. L'existence de ce conflit était éminemment reconnaissable et devait amener Me L.________ à refuser d'entrée de cause le mandat d'avocat de N.________, sans attendre l'éventuelle demande ou réaction de Me P.________. Me L.________ fait valoir dans ses déterminations du 16 novembre 2015 que l'existence d'un conflit d'intérêts ne lui est pas apparue dans un premier temps en raison "du caractère très particulier de cette affaire". Il explique qu'il a été consulté en janvier 2015 par A.________ et par N.________ afin d'obtenir une prolongation du contrat de bail, que des discussions en ce sens avec Me P.________ ont échoué et qu'A.________ souhaitait que N.________ puisse rester dans son appartement au-delà du 30 juin 2015. Il convient d'abord de relever qu'il paraît douteux que Me L.________ ait été consulté par A.________ et N.________. Dans sa lettre du 23 février 2015 à Me P.________, Me L.________ a d'ailleurs contesté devoir faire valoir ses honoraires auprès de N.________. Dans sa requête du 15 juin 2015 à la Chambre des avocats, il a en outre expliqué qu'il avait été consulté en janvier par A.________. Quoi qu'il en soit, même si les explications de Me L.________ sur ce point sont peu convaincantes, le fait qu'il ait été consulté par A.________ seule ou par A.________ et N.________ ne change rien au fait qu'il a en définitive accepté d'agir contre son ancienne cliente, à raison du même complexe de faits que celui pour lequel celle-ci l'avait consulté. Partant, Me L.________ a clairement violé son obligation professionnelle d'éviter tout conflit d'intérêts.</w:t>
      </w:r>
    </w:p>
    <w:p>
      <w:r>
        <w:rPr>
          <w:b/>
        </w:rPr>
        <w:t>E. 4.1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dispose d'une certaine marge d'appréciation (Kann-Vorschrift):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op. cit., nn. 17-18 pp. 225-226).</w:t>
      </w:r>
    </w:p>
    <w:p>
      <w:r>
        <w:rPr>
          <w:b/>
        </w:rPr>
        <w:t>E. 4.2</w:t>
      </w:r>
    </w:p>
    <w:p>
      <w:r>
        <w:t>En l'espèce, le comportement de Me L.________ était propre à entraver la confiance que le public doit avoir dans la profession d’avocat. Il revêt une certaine gravité, dans la mesure où Me L.________ n'a reconnu que tardivement ce que son comportement avait de contraire à ses obligations professionnelles. En effet, Me L.________ fait valoir que, suite au courrier de Me P.________ du 11 juin 2015, il a spontanément soumis le cas à la Chambre des avocats. Dans sa requête du 15 juin suivant, Me L.________ a toutefois fait valoir que de son point de vue, il n'existait aucun conflit d'intérêt "vu qu'actuellement, notre étude ne traite plus aucun mandat en faveur de Madame A.________". A ce stade et malgré l'interpellation de Me P.________, Me L.________ niait encore l'existence d'un conflit d'intérêt au motif que les deux mandats n'étaient pas concomitants. L'argument démontre une méconnaissance de l'obligation légale et déontologique de l'avocat d'éviter tout conflit d'intérêt. Si la lettre paraît avoir été rédigée par l'avocate-stagiaire de Me L.________ au vu du "rapport d'affaire" ou time-sheet produit par celui-ci, il n'en reste pas moins que Me L.________ a signé ce courrier rédigé par sa stagiaire, destiné à l'autorité chargée de la surveillance des avocats. La teneur de ce courrier lui est dès lors imputable et il est inquiétant que Me L.________, chargé de former sa stagiaire également sur les règles déontologiques de la profession, ait confirmé par sa signature les propos précités. Me L.________ relève également qu'après avoir pris connaissance de la dénonciation de Me P.________ du 16 juin 2015, il a immédiatement mis fin à son mandat. Dans son courrier du 17 juin, Me L.________ précisait toutefois à la Chambre qu'il maintenait sa position selon laquelle il n'existait aucun conflit d'intérêt, mais se dessaisissait du mandat "afin d'économiser des échanges d'écritures inutiles". En définitive, ce n'est que lorsqu'il a été entendu par le membre instructeur que Me L.________ paraît avoir saisi ce que son comportement avait de contraire à son obligation professionnelle d'éviter tout conflit d'intérêts. Le temps mis par Me L.________ pour reconnaître sa faute est inquiétant. Les explications qu'il a données tant au membre instructeur qu'à la Chambre de céans lors de son audition le 29 octobre 2015 le sont également. En effet, Me L.________ a déclaré au premier qu'il ne s'occupait pas personnellement des dossiers de "cas sociaux", puis exposé à la Chambre qu'il acceptait des dossiers dans des domaines de compétence qu'il ne maîtrisait pas afin de former ses stagiaires. La manière désinvolte de traiter tant ses clients que ses stagiaires, à qui il n'accorde ni le suivi ni les conseils nécessaires à la formation, est choquante. On relèvera encore, par surabondance, que Me L.________ a facturé à son client N.________ ses opérations devant la Chambre des avocats, dont il ressort du time-sheet qu'elles ont été effectuées par l'avocate-stagiaire, ce qui est doublement inadmissible. Au vu de ce qui précède, le comportement de Me L.________ est inquiétant et grave. A cela s'ajoute qu'il a déjà été puni disciplinairement d'un avertissement en 2006 et d'un blâme en 2013. A sa décharge, la Chambre de céans retient toutefois que Me L.________ lui a immédiatement soumis la question de sa capacité de postuler lorsque Me P.________ a soulevé le problème. Après hésitation, elle décide dès lors de ne prononcer à son encontre qu'un avertissement pour sanctionner son comportement.</w:t>
      </w:r>
    </w:p>
    <w:p>
      <w:r>
        <w:rPr>
          <w:b/>
        </w:rPr>
        <w:t>E. 5</w:t>
      </w:r>
    </w:p>
    <w:p>
      <w:r>
        <w:t>Les frais de la cause, comprenant un émolument ainsi que les frais d'enquête, par 176 fr., sont arrêtés à 700 francs. Ils sont mis à la charge de l’avocat L.________ (art. 61 al. 1 er LPAv). Par ces motifs, la Chambre des avocats, statuant à huis clos : I. Prononce contre l'avocat L.________ la peine disciplinaire de l'avertissement. II. Dit que les frais de la cause, par 700 fr. (sept cents francs), sont mis à la charge de L.________. Le président :               La greffière : - Du - La décision qui précède, lue et approuvée à huis clos, est notifiée à : ‑ Me L.________.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