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978 vom 30. November 2015</w:t>
      </w:r>
    </w:p>
    <w:p>
      <w:r>
        <w:t>VD Tribunal cantonal, 2015-11-30, FR</w:t>
      </w:r>
    </w:p>
    <w:p>
      <w:r>
        <w:rPr>
          <w:b/>
        </w:rPr>
        <w:t xml:space="preserve">Quelle: </w:t>
      </w:r>
      <w:r>
        <w:t>https://mcp.opencaselaw.ch/entscheid/vd_findinfo_D_cision___2015___978</w:t>
      </w:r>
    </w:p>
    <w:p>
      <w:r>
        <w:t>FR: VD_FINDINFO Décision / 2015 / 978 du 30 novembre 2015</w:t>
      </w:r>
    </w:p>
    <w:p>
      <w:r>
        <w:t>IT: VD_FINDINFO Décision / 2015 / 978 del 30 novembre 2015</w:t>
      </w:r>
    </w:p>
    <w:p>
      <w:pPr>
        <w:pStyle w:val="Heading2"/>
      </w:pPr>
      <w:r>
        <w:t>Regeste</w:t>
      </w:r>
    </w:p>
    <w:p>
      <w:r>
        <w:t>CONFLIT D'INTÉRÊTS, REJET DE LA DEMANDE | 12 let. c LLCA</w:t>
      </w:r>
    </w:p>
    <w:p>
      <w:pPr>
        <w:pStyle w:val="Heading2"/>
      </w:pPr>
      <w:r>
        <w:t>Erwägungen</w:t>
      </w:r>
    </w:p>
    <w:p>
      <w:r>
        <w:rPr>
          <w:b/>
        </w:rPr>
        <w:t>E. 1</w:t>
      </w:r>
    </w:p>
    <w:p>
      <w:r>
        <w:t>a) O.________SA était propriétaire de la parcelle n° [...] sise sur la commune d' [...]. Elle y a fait construire un immeuble de quatre appartements et cinq garages et a constitué le 25 février 2008 une propriété par étages, la PPE S.________. Elle a ensuite vendu trois des quatre unités de PPE à W.________, L.________ et M.________. Elle est restée propriétaire de la quatrième unité. b) Me B.________, agissant pour la PPE S.________, a déposé le 17 janvier 2014 auprès du Tribunal d'arrondissement de l'Est vaudois une requête en inscription d'une hypothèque légale à l'encontre d'O.________SA pour garantie des charges de copropriété impayées par cette dernière. Par décision du 31 mars 2014, la Présidente du Tribunal a ordonné l'inscription provisoire d'une hypothèque légale pour garantie des charges de copropriété impayées pour les années 2011-2012. Le 9 décembre 2014, Me B.________ a déposé contre O.________SA une nouvelle demande d'inscription d'hypothèque légale pour sa cliente afin de garantir les charges impayées de l'exercice comptable 2013-2014. c) Par demande adressée le 13 janvier 2015 à la Chambre patrimoniale cantonale, Me B.________, agissant pour les copropriétaires W.________ et L.________, a actionné O.________SA en paiement des défauts de la chose vendue.</w:t>
      </w:r>
    </w:p>
    <w:p>
      <w:r>
        <w:rPr>
          <w:b/>
        </w:rPr>
        <w:t>E. 1.1</w:t>
      </w:r>
    </w:p>
    <w:p>
      <w:r>
        <w:t>La Chambre des avocats est saisie de requêtes visant à statuer sur la capacité de postulation de Mes B.________ et J.________ dans le cadre des procédures opposant leurs clients. Par demandes du 9 juillet 2015, Me B.________ a requis qu'il soit statué d'une part sur sa capacité de postuler, contestée par Me J.________, et d'autre part sur la capacité de postuler de celui-ci. Par déterminations du 21 août 2015, Me J.________ a demandé que Me B.________ soit sommé de se dessaisir immédiatement de ses mandats opposant ses clients à O.________SA. Dès lors que les parties et les procédures visées par ces requêtes sont les mêmes, il convient de trancher, dans une seule décision, la capacité de postuler de chaque avocat.</w:t>
      </w:r>
    </w:p>
    <w:p>
      <w:r>
        <w:rPr>
          <w:b/>
        </w:rPr>
        <w:t>E. 1.2</w:t>
      </w:r>
    </w:p>
    <w:p>
      <w:r>
        <w:t>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w:t>
      </w:r>
    </w:p>
    <w:p>
      <w:r>
        <w:rPr>
          <w:b/>
        </w:rPr>
        <w:t>E. 1.3</w:t>
      </w:r>
    </w:p>
    <w:p>
      <w:r>
        <w:t>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en matière civile, les cantons sont compétents pour la désigner. Dans le canton de Vaud, la Chambre des avocats admet sa compétence sur la base de l'art. 10 al. 1 LPAv (CAVO 12 janvier 2015/2).</w:t>
      </w:r>
    </w:p>
    <w:p>
      <w:r>
        <w:rPr>
          <w:b/>
        </w:rPr>
        <w:t>E. 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 3; Chappuis, op. cit., p. 71). Un risque théorique et abstrait de conflit d'intérêt ne suffit pas: le risque doit être concret (ATF 135 II 145 c. 9.1; ATF 134 II 108 c.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w:t>
      </w:r>
    </w:p>
    <w:p>
      <w:r>
        <w:rPr>
          <w:b/>
        </w:rPr>
        <w:t>E. 3</w:t>
      </w:r>
    </w:p>
    <w:p>
      <w:r>
        <w:t>Capacité de postuler de Me B.________</w:t>
      </w:r>
    </w:p>
    <w:p>
      <w:r>
        <w:rPr>
          <w:b/>
        </w:rPr>
        <w:t>E. 3.1</w:t>
      </w:r>
    </w:p>
    <w:p>
      <w:r>
        <w:t>Me B.________ représente d'une part la PPE S.________ dans le cadre d'une procédure en recouvrement des charges de PPE et, d'autre part, deux des copropriétaires de la PPE, soit W.________ et L.________, dans une procédure en paiement des défauts de la chose vendue. Les deux procédures sont dirigées contre O.________SA. Dans sa requête du 9 juillet 2015, Me B.________ requiert que sa capacité de postuler soit examinée en rapport avec le fait qu'il représente d'une part la PPE S.________ et, d'autre part, deux copropriétaires à titre individuel. Me J.________ conteste la capacité de postuler de Me B.________ au motif qu'il serait intervenu par le passé en tant que conseil pour le compte d'O.________SA: F.________, ancien représentant de la société, aurait fait appel aux services de Me B.________ afin d'agir contre les époux L.________. Or, Me B.________ défend aujourd'hui L.________ dans la procédure dirigée contre O.________SA. Me B.________ pour sa part conteste avoir été le conseil d'O.________SA. Il a admis avoir rencontré F.________, mais a expliqué qu'il était à l'époque des faits le conseil de [...].</w:t>
      </w:r>
    </w:p>
    <w:p>
      <w:r>
        <w:rPr>
          <w:b/>
        </w:rPr>
        <w:t>E. 3.2</w:t>
      </w:r>
    </w:p>
    <w:p>
      <w:r>
        <w:t>L'existence d'une propriété par étages fait naître une sorte de société légale, appelée communauté, regroupant tous les propriétaires d'étages. Sans être une personne morale, cette communauté a une capacité juridique partielle qui ne peut s'exercer que dans le cadre de son but corporatif, c'est-à-dire l'administration de l'immeuble constitué en propriété par étages dans la mesure où cette gestion relève de la sphère commune des propriétaires d'étages. Dans cette mesure, elle acquiert en son nom certains avoirs, telles les contributions des copropriétaires aux charges communes (art. 712l al. 1 er CC [Code civil suisse du 10 décembre 1907; RS 210]), et peut participer, activement et passivement, à des procès ainsi qu'à des poursuites (art. 712l al. 2 CC; cf. CCiv 24 janvier 2003/525 et les références citées). La PPE S.________ est donc légitimée pour agir en paiement des charges de copropriété contre un de ses copropriétaires. Dès lors que la loi prévoit expressément cette possibilité, il ne saurait bien évidemment y avoir de conflit d'intérêts à agir contre un copropriétaire qui est en quelque sorte également représenté au sein de la PPE. Le fait que le copropriétaire soit amené le cas échéant à prendre en charge les frais d'avocats et de justice à raison de l'action ouverte contre lui en proportion de sa part sur l'immeuble n'y change rien. En effet, en tant que copropriétaire soumis aux décisions de l'assemblée générale de la PPE, il doit se laisser imputer ces charges (cf. CACI 14 août 2015/420; CREC I 22 janvier 2010/46). Me B.________ ne se trouve dès lors pas en conflit d'intérêts en actionnant O.________SA pour le compte de la PPE.</w:t>
      </w:r>
    </w:p>
    <w:p>
      <w:r>
        <w:rPr>
          <w:b/>
        </w:rPr>
        <w:t>E. 3.3</w:t>
      </w:r>
    </w:p>
    <w:p>
      <w:r>
        <w:t>L'action en garantie des défauts de la chose appartient pour sa part exclusivement à l'acheteur ou au maître de l'ouvrage. Les parts de propriété par étage ne sont pas vendues à la communauté, mais aux différents copropriétaires, de sorte que chaque copropriétaire dispose de sa propre action en réduction du prix sur la base de son contrat avec le vendeur ou l'entrepreneur (TF 4A_326/2009 du 12 octobre 2009 c. 4). Lorsque des défauts affectent des parties communes, un copropriétaire peut exercer seul son action en garantie pour ces défauts également (TF 4C.151/2005 du 29 août 2005 c. 4.2.3; CACI 26 janvier 2015/50). En l'espèce, Me B.________ agit en garantie des défauts pour deux copropriétaires de la PPE personnellement contre la venderesse, laquelle se trouve être également O.________SA. Cela étant, on ne discerne pas quel conflit il y a entre les intérêts de la PPE en paiement des charges de copropriété et ceux des copropriétaires W.________ et L.________ en réparation des défauts de la chose vendue. Les intérêts des parties dans ces deux procédures ne sont pas opposés. Pour le surplus, on ne voit pas que Me B.________ soit restreint dans sa capacité à défendre une partie à raison de secrets qu'il aurait appris de l'autre partie. Il convient au demeurant de remarquer qu'un conflit d'intérêts à raison de ces deux mandats a été reproché par Me J.________ à Me B.________ dans le cadre des procédures civiles. Dans ses déterminations du 21 août 2015, Me J.________ n'a toutefois pas repris cet argument, se fondant uniquement sur le fait que Me B.________ aurait défendu O.________SA par le passé pour requérir la cessation de ses mandats. En tous les cas, aucun conflit d'intérêts ne peut être retenu à l'encontre de Me B.________ du fait qu'il défend simultanément la PPE S.________ et les copropriétaires W.________ et L.________ dans deux procédures distinctes.</w:t>
      </w:r>
    </w:p>
    <w:p>
      <w:r>
        <w:rPr>
          <w:b/>
        </w:rPr>
        <w:t>E. 3.4</w:t>
      </w:r>
    </w:p>
    <w:p>
      <w:r>
        <w:t>Pour le surplus, Me B.________ conteste avoir été le conseil d'O.________SA. Il ressort des pièces produites par Me J.________ que Me B.________ a été contacté par F.________ en rapport avec "la rentrée des époux L.________" dans la S.________, qu'il a rencontré l'intéressé et qu'il a été contacté au sujet de la vente du dernier appartement de la PPE. Ces éléments ne permettent toutefois pas de considérer que Me B.________ a été le conseil d'O.________SA. On ignore en effet quelle suite a été donnée à la première prise de contact entre Me B.________ et F.________. Les courriels produits ne sont dès lors pas déterminants et le fait que les prénommés se sont rencontrés n'est pas suffisant pour admettre que Me B.________ a eu connaissance d'informations qui relèvent du secret professionnel et qu'il existe un risque concret de conflit d'intérêts. Eu égard à ce qui précède, il doit être constaté qu'aucun conflit d'intérêts n'empêche Me B.________ de poursuivre ses mandats de conseil de la PPE S.________ d'une part, d'W.________ et de L.________ d'autre part.</w:t>
      </w:r>
    </w:p>
    <w:p>
      <w:r>
        <w:rPr>
          <w:b/>
        </w:rPr>
        <w:t>E. 4</w:t>
      </w:r>
    </w:p>
    <w:p>
      <w:r>
        <w:t>Capacité de postuler de Me J.________</w:t>
      </w:r>
    </w:p>
    <w:p>
      <w:r>
        <w:rPr>
          <w:b/>
        </w:rPr>
        <w:t>E. 4.1</w:t>
      </w:r>
    </w:p>
    <w:p>
      <w:r>
        <w:t>Me B.________ soutient que Me J.________ ne peut représenter sa cliente O.________SA à la fois en qualité de venderesse des lots de PPE et de copropriétaire pour les charges de la copropriété. Il soutient en particulier que la défense simultanée par Me J.________ de ces deux aspects péjore les intérêts de sa cliente O.________SA. Me J.________ rappelle qu'il ne défend qu'une seule et même partie dans le cadre d'une affaire ayant plusieurs volets. Il fait valoir que tous les éléments connus dans le cadre de la défense de sa cliente en tant que venderesse l'auraient également été s'il n'avait été son conseil qu'en sa qualité de copropriétaire.</w:t>
      </w:r>
    </w:p>
    <w:p>
      <w:r>
        <w:rPr>
          <w:b/>
        </w:rPr>
        <w:t>E. 4.2</w:t>
      </w:r>
    </w:p>
    <w:p>
      <w:r>
        <w:t>L'interdiction du conflit d'intérêts découle de l'obligation d'indépendance de l'avocat et de celle de préserver le secret professionnel. Elle vise à assurer que l'avocat puisse défendre son client sans restriction liée à la prise en compte d'autres intérêts que ceux de son client ou à l'interdiction d'utiliser des informations acquises dans le cadre d'un autre mandat. En l'espèce, Me J.________ ne défend pas des intérêts opposés puisqu'il est le conseil d'une seule et unique cliente dans le cadre de différentes procédures. C'est O.________SA qui a la double qualité de venderesse et de copropriétaire et le fait de confier les procédures à différents avocats n'y changerait rien. En effet, O.________SA est une partie et il est évident qu'à ce titre, elle serait libre de communiquer les informations acquises dans une procédure à l'avocat qui l'assisterait dans l'autre procédure. Partant, Me J.________ n'est nullement confronté à un conflit d'intérêts en défendant sa cliente dans plusieurs procédures.</w:t>
      </w:r>
    </w:p>
    <w:p>
      <w:r>
        <w:rPr>
          <w:b/>
        </w:rPr>
        <w:t>E. 5</w:t>
      </w:r>
    </w:p>
    <w:p>
      <w:r>
        <w:t>En définitive, les requêtes déposées par Mes B.________ et J.________ sont rejetées. Il est constaté que Me B.________ peut continuer à représenter la PPE S.________ dans la procédure en recouvrement des charges de la PPE d'une part, W.________ et L.________ dans la procédure en garantie des défauts de la chose vendue d'autre part, les deux procédures étant dirigées contre O.________SA. Il est également constaté que Me J.________ peut continuer à représenter sa cliente O.________SA dans les procédures précitées. Les frais de la décision s'élèvent à 500 fr. (art. 1 al. 2 litt. a du règlement du 19 février 2008 sur les émoluments perçus par la Chambre des avocats ou son président, par délégation; RSV 177.11.4) et sont mis à la charge de Me B.________ par 250 fr. et de Me J.________ par 250 fr. également. Par ces motifs, la Chambre des avocats, statuant à huis clos : I. Rejette les requêtes déposées par Me B.________ et J.________ les 9 juillet et 21 août 2015. II. Constate que Me B.________ peut continuer à représenter la PPE S.________ dans la procédure en recouvrement des charges de la PPE d'une part, W.________ et L.________ dans la procédure en garantie des défauts de la chose vendue d'autre part, les deux procédures étant dirigées contre O.________SA. III. Constate que Me J.________ peut continuer à représenter O.________SA dans le cadre des procédures en recouvrement des charges de la copropriété l'opposant à la PPE S.________ et en garantie des défauts de la chose vendue l'opposant à W.________ et L.________. IV. Dit que les frais de la présente décision, par 500 fr. (cinq cents francs), sont mis à la charge de Me B.________ par 250 fr. (deux cent cinquante francs) et de Me J.________ par 250 fr. (deux cent cinquante francs). La vice-présidente : La greffière : Du La décision qui précède, lue et approuvée à huis clos, est notifiée à : ‑ Me B.________, ‑ Me J.________.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