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976 vom 27. Januar 2016</w:t>
      </w:r>
    </w:p>
    <w:p>
      <w:r>
        <w:t>VD Tribunal cantonal, 2016-01-27, FR</w:t>
      </w:r>
    </w:p>
    <w:p>
      <w:r>
        <w:rPr>
          <w:b/>
        </w:rPr>
        <w:t xml:space="preserve">Quelle: </w:t>
      </w:r>
      <w:r>
        <w:t>https://mcp.opencaselaw.ch/entscheid/vd_findinfo_D_cision___2015___976</w:t>
      </w:r>
    </w:p>
    <w:p>
      <w:r>
        <w:t>FR: VD_FINDINFO Décision / 2015 / 976 du 27 janvier 2016</w:t>
      </w:r>
    </w:p>
    <w:p>
      <w:r>
        <w:t>IT: VD_FINDINFO Décision / 2015 / 976 del 27 gennaio 2016</w:t>
      </w:r>
    </w:p>
    <w:p>
      <w:pPr>
        <w:pStyle w:val="Heading2"/>
      </w:pPr>
      <w:r>
        <w:t>Regeste</w:t>
      </w:r>
    </w:p>
    <w:p>
      <w:r>
        <w:t>ESCROQUERIE, IN DUBIO PRO DURIORE | 146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une partie plaignante, qui a la qualité pour recourir (cf.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w:t>
      </w:r>
    </w:p>
    <w:p>
      <w:r>
        <w:rPr>
          <w:b/>
        </w:rPr>
        <w:t>E. 2.2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L'escroquerie suppose en particulier que l'auteur ait usé de tromperie et que celle-ci ait été astucieuse (ATF 128 IV 18 consid. 3a; ATF 122 II 422 consid. 3a; ATF 122 IV 246 consid.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consid. 3a; ATF 126 IV 165 consid. 2a). Un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consid. 3c; Dupuis et alii, Petit commentaire du Code pénal, Bâle 2012, n. 12 ad art. 146 CP). Pour apprécier si l'auteur a usé d'astuce et si la dupe a omis de prendre des mesures de prudence élémentaires, il ne suffit pas de se demander comment une personne raisonnable et expérimentée aurait réagi à la tromperie ;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120 IV 186 consid. 1 a). La jurisprudence admet dès lors l'astuce dans le cas où la dupe n'a pas la possibilité de vérifier les affirmations transmises ou si leur vérification se révèle très difficile, notamment lorsque la tromperie porte sur des faits internes, comme par exemple la volonté d'exécuter un contrat (ATF 125 IV 124 consid. 3a). Sur le plan subjectif, l'escroquerie suppose une intention et un dessein d'enrichissement illégitime pour soi-même ou pour un tiers (Dupuis et alii [éd.], op. cit., n. 1 ad. art. 146 CP).</w:t>
      </w:r>
    </w:p>
    <w:p>
      <w:r>
        <w:rPr>
          <w:b/>
        </w:rPr>
        <w:t>E. 2.3</w:t>
      </w:r>
    </w:p>
    <w:p>
      <w:r>
        <w:t>En l’espèce, on constate qu’E.________ a déclaré annuler la convention du 23 octobre 2013, le 28 janvier 2014, soit le lendemain de la remise des clés du local commercial sis à [...]. Il fonde cette annulation sur le fait que le contrat de bail n’aurait pas été transféré aux mêmes conditions que celles dont bénéficiait la recourante (P. 4/2/14, P. 4/2/17). Or il est établi que les nouvelles conditions du contrat de bail étaient connues de L.________, intermédiaire d’E.________, depuis le 17 décembre 2013 (P. 4/2/10) et que ce dernier les avait d’ailleurs acceptées sans réserves, demandant même à la Gérance J.________ SA que le contrat de bail puisse être signé au plus vite (P. 4/2/11, P. 4/2/15). Par ailleurs, si E.________ entendait annuler la convention du 23 octobre 2013 au motif que le contrat de bail n’avait pas été transféré aux conditions initiales, il aurait donc amplement eu l’occasion de le signifier à la recourante avant la remise des clés du 27 janvier 2014. Au surplus, alors qu’elles connaissaient les nouvelles conditions imposées par la gérance, les parties se sont tout de même revues le 31 décembre 2013 afin de modifier la convention du 23 octobre 2013 (P. 4/2/7, p. 2). E.________ a en outre versé, sans réserves, deux acomptes totalisant la somme de 11'000 fr. à la plaignante les 31 décembre 2013 et 8 janvier 2014 (P. 4/2/12). Au vu de ce qui précède, on ne peut donc exclure qu’E.________, le cas échéant avec la participation de L.________, aient en réalité amené la recourante à exécuter sa propre prestation, qui constitue en elle-même un acte préjudiciable à ses intérêts pécuniaires, tout en la trompant sur leur volonté d’exécuter intégralement la convention signée le 23 octobre 2013. Dans ces conditions, la réalisation d’une escroquerie ne pouvant d’emblée être exclue, c’est à tort que le Procureur n’est pas entré en matière dans la présente affaire. Il y a lieu de lui renvoyer le dossier de la cause afin qu’il ouvre une instruction conformément à l'art. 309 CPP et instruise le dossier.</w:t>
      </w:r>
    </w:p>
    <w:p>
      <w:r>
        <w:rPr>
          <w:b/>
        </w:rPr>
        <w:t>E. 3</w:t>
      </w:r>
    </w:p>
    <w:p>
      <w:r>
        <w:t>Sur le vu de ce qui précède, le recours doit être admis, l’ordonnance attaquée annulée et le dossier de la cause renvoyé au Procureur pour qu’il procède dans le sens des considérants. Les frais de la procédure de recours, constitués en l’espèce du seul émolument d'arrêt, par 770 fr. (art. 20 al. 1 TFJP [Tarif des frais judiciaires pénaux du 28 septembre 2010; RSV 312.03.1]), seront laissés à la charge de l'Etat (art. 428 al. 4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consid. 4 et les références citées). Par ces motifs, la Chambre des recours pénale prononce : I. Le recours est admis. II. L’ordonnance du 12 octobre 2015 est annulée. III. Le dossier de la cause est retourné au Ministère public de l’arrondissement de l’Est vaudois pour qu’il procède dans le sens des considérants. IV. Les frais d'arrêt, par 770 fr. (sept cent septante francs), sont laissés à la charge de l'Etat. V. Le présent arrêt est exécutoire. Le président :               La greffière : Du Le présent arrêt, dont la rédaction a été approuvée à huis clos, est notifié, par l'envoi d'une copie complète, à : - Me Anne-Rebecca Bula, avocate (pour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