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955 vom 21. Dezember 2015</w:t>
      </w:r>
    </w:p>
    <w:p>
      <w:r>
        <w:t>VD Tribunal cantonal, 2015-12-21, FR</w:t>
      </w:r>
    </w:p>
    <w:p>
      <w:r>
        <w:rPr>
          <w:b/>
        </w:rPr>
        <w:t xml:space="preserve">Quelle: </w:t>
      </w:r>
      <w:r>
        <w:t>https://mcp.opencaselaw.ch/entscheid/vd_findinfo_D_cision___2015___955</w:t>
      </w:r>
    </w:p>
    <w:p>
      <w:r>
        <w:t>FR: VD_FINDINFO Décision / 2015 / 955 du 21 décembre 2015</w:t>
      </w:r>
    </w:p>
    <w:p>
      <w:r>
        <w:t>IT: VD_FINDINFO Décision / 2015 / 955 del 21 dicembre 2015</w:t>
      </w:r>
    </w:p>
    <w:p>
      <w:pPr>
        <w:pStyle w:val="Heading2"/>
      </w:pPr>
      <w:r>
        <w:t>Regeste</w:t>
      </w:r>
    </w:p>
    <w:p>
      <w:r>
        <w:t>CLASSEMENT DE LA PROCÉDURE | 310 CPP (CH), 393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2.1</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consid. 2.3 et les références citées).</w:t>
      </w:r>
    </w:p>
    <w:p>
      <w:r>
        <w:rPr>
          <w:b/>
        </w:rPr>
        <w:t>E. 2.2.1</w:t>
      </w:r>
    </w:p>
    <w:p>
      <w:r>
        <w:t>Selon l’art. 137 ch. 1 CP, se rend coupable d’appropriation illégitime celui qui, pour se procurer ou procurer à un tiers un enrichissement illégitime, se sera approprié une chose mobilière appartenant à autrui. Aux termes de l'art. 139 ch. 1 CP, se rend coupable de vol celui qui, pour se procurer ou procurer à un tiers un enrichissement illégitime, aura soustrait une chose mobilière appartenant à autrui dans le but de se l’approprier.</w:t>
      </w:r>
    </w:p>
    <w:p>
      <w:r>
        <w:rPr>
          <w:b/>
        </w:rPr>
        <w:t>E. 2.2.2</w:t>
      </w:r>
    </w:p>
    <w:p>
      <w:r>
        <w:t>S’agissant plus particulièrement d’une chose mobilière appartenant à autrui en tant qu’objet des deux infractions précitées, il y a lieu de relever ce qui suit. Une chose mobilière est un objet matériel susceptible de se transporter d’un lieu dans un autre, sans altération sensible de sa substance. Sont ainsi visées les choses qui ne sont pas fermement fixées à la surface terrestre ou qui peuvent en être détachées. Peu importe que la chose puisse être dès l’origine qualifiée de chose mobilière ou qu’elle le devienne en raison du comportement adopté par l’auteur, par exemple une extraction de cristaux de roche ou un déracinement d’une plante (Dupuis et al. [éd.], Petit commentaire, Code pénal, Bâle 2012, n. 13 ad Rem. prél. aux art. 137 ss CP). Quant à la notion d’appartenance à autrui, elle est renvoyée au droit de propriété défini par le droit privé (Dupuis et al. [éd.], op. cit., n. 14 ad ad Rem. prél. aux art. 137 ss CP). En matière de travaux de rénovation ou de modification entrepris par le locataire, la personne à l’origine des travaux est le locataire : il doit réaliser lui-même ou, en tant que maître de l’ouvrage, faire réaliser les travaux par un tiers sur la base d’un contrat de construction. Du point de vue des droits réels, le locataire construit sur un fonds étranger ; en vertu du principe de l’accession (art. 671 al. 1 CC), les rénovations et modifications deviennent partie intégrante de l’immeuble et propriété du bailleur (Carron, Bail et travaux de construction : aménagement, entretien, rénovation et modification des locaux, 17 e Séminaire sur le droit du bail, n. 125, p. 81, et les réf. cit.).</w:t>
      </w:r>
    </w:p>
    <w:p>
      <w:r>
        <w:rPr>
          <w:b/>
        </w:rPr>
        <w:t>E. 2.3</w:t>
      </w:r>
    </w:p>
    <w:p>
      <w:r>
        <w:t>En l’espèce, on doit admettre avec le recourant qu’en vertu du principe de l’accession, les éviers et les batteries de robinets en tout cas sont devenus partie intégrante de l’immeuble et donc propriété du recourant. Le contrat de bail le précisait du reste expressément. Par ailleurs, cela n’empêchait pas ces éviers et ces batteries de robinets de constituer simultanément des choses mobilières, susceptibles de vol ou d’appropriation illégitime au sens des art. 137 ss. CP, puisqu’ils ont pu être détachés de l’immeuble en question et emportés par la locataire. Au vu de l’ensemble de ces éléments, il existe des soupçons suffisants de vol, subsidiairement d’appropriation illégitime.</w:t>
      </w:r>
    </w:p>
    <w:p>
      <w:r>
        <w:rPr>
          <w:b/>
        </w:rPr>
        <w:t>E. 2.4</w:t>
      </w:r>
    </w:p>
    <w:p>
      <w:r>
        <w:t>Les conditions posées par l’art. 310 al. 1 let. a CPP n’étant ainsi pas réunies, c’est à tort que le procureur n’a pas instruit les faits plus avant. Il lui appartiendra donc d’ouvrir une instruction pénale.</w:t>
      </w:r>
    </w:p>
    <w:p>
      <w:r>
        <w:rPr>
          <w:b/>
        </w:rPr>
        <w:t>E. 3</w:t>
      </w:r>
    </w:p>
    <w:p>
      <w:r>
        <w:t>Il résulte de ce qui précède que le recours doit être admis et l’ordonnance attaquée annulée. Le dossier de la cause sera renvoyé au Ministère public de l'arrondissement de l’Est vaudois pour qu’il procède dans le sens des considérants. Le recourant obtenant gain de cause, les frais de la procédure de recours, constitués de l’émolument d'arrêt (art. 422 al. 1 CPP), par 660 fr. (art. 20 al. 1 TFIP [Tarif des frais de procédure et indemnités en matière pénale du 28 septembre 2010; RSV 312.03.1]), seront laissés à la charge de l’Etat (art. 428 al. 4 CPP). S’agissant des dépens réclamés par le recourant,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12 août 2015 est annulée. III. Le dossier de la cause est renvoyé au Ministère public de l'arrondissement de l’Est vaudois pour qu’il procède dans le sens des considérants. IV. Les frais du présent arrêt, par 660 fr. (six cent soixante francs), sont laissés à la charge de l’Etat. V. Le présent arrêt est exécutoire. Le président :               La greffière : Du Le présent arrêt, dont la rédaction a été approuvée à huis clos, est notifié, par l'envoi d'une copie complète, à : - Me Jean-David Pelot, avocat (pour H.________),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