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953 vom 21. Dezember 2015</w:t>
      </w:r>
    </w:p>
    <w:p>
      <w:r>
        <w:t>VD Tribunal cantonal, 2015-12-21, FR</w:t>
      </w:r>
    </w:p>
    <w:p>
      <w:r>
        <w:rPr>
          <w:b/>
        </w:rPr>
        <w:t xml:space="preserve">Quelle: </w:t>
      </w:r>
      <w:r>
        <w:t>https://mcp.opencaselaw.ch/entscheid/vd_findinfo_D_cision___2015___953</w:t>
      </w:r>
    </w:p>
    <w:p>
      <w:r>
        <w:t>FR: VD_FINDINFO Décision / 2015 / 953 du 21 décembre 2015</w:t>
      </w:r>
    </w:p>
    <w:p>
      <w:r>
        <w:t>IT: VD_FINDINFO Décision / 2015 / 953 del 21 dicembre 2015</w:t>
      </w:r>
    </w:p>
    <w:p>
      <w:pPr>
        <w:pStyle w:val="Heading2"/>
      </w:pPr>
      <w:r>
        <w:t>Regeste</w:t>
      </w:r>
    </w:p>
    <w:p>
      <w:r>
        <w:t>OPPOSITION TARDIVE, IGNORANCE DE LA LOI, DÉCISION D'IRRECEVABILITÉ | 85 al. 4 CPP (CH), 90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10 septembre 2015/596 consid. 1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prévenu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w:t>
      </w:r>
    </w:p>
    <w:p>
      <w:r>
        <w:rPr>
          <w:b/>
        </w:rPr>
        <w:t>E. 2.2</w:t>
      </w:r>
    </w:p>
    <w:p>
      <w:r>
        <w:t>Dans le cas présent, l'ordonnance pénale du 7 octobre 2015 a été notifiée au recourant le 9 octobre 2015, selon avis de la Poste (P. 13). K.________ ne nie d'ailleurs pas avoir retiré le pli le 9 octobre 2015. Dans ces conditions, le délai d'opposition a commencé à courir le samedi 10 octobre 2015 pour venir à échéance le lundi 19 octobre suivant. Formée le jeudi 22 octobre 2015, l'opposition de K.________ est effectivement tardive. Sans contester la tardiveté de son opposition, le recourant invoque qu'il pensait que les délais ne couraient pas les jours du week-end. Or, l'art. 90 al. 1 CPP prévoit expressément que les délais fixés en jours commencent à courir le jour qui suit leur notification ou l'événement qui les déclenche. Le recourant ne saurait se prévaloir de sa prétendue ignorance de cette disposition. En effet, il sied de rappeler que le principe fondamental qui gouverne les relations entre le justiciable et les autorités est que nul n’est censé ignorer la loi, laquelle fait d’ailleurs l’objet de publications au Recueil officiel des lois fédérales et au Recueil systématique du droit fédéral, qui peuvent être consultées sur le site internet de la Confédération (TF 2A.439/2003 du 2 février 2004 consid. 9.2). C’est donc à bon droit que le Tribunal de police de l’arrondissement de La Côte a déclaré l’opposition de K.________ irrecevable et a constaté que l’ordonnance pénale du</w:t>
      </w:r>
    </w:p>
    <w:p>
      <w:r>
        <w:rPr>
          <w:b/>
        </w:rPr>
        <w:t>E. 4</w:t>
      </w:r>
    </w:p>
    <w:p>
      <w:r>
        <w:t>let. a).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7</w:t>
      </w:r>
    </w:p>
    <w:p>
      <w:r>
        <w:t>octobre 2015, assimilée à un jugement entré en force (art. 354 al. 3 CPP), était exécutoire. Le recourant ne peut ainsi plus revenir sur les faits incriminés ou requérir des mesures d’instruction comme il le fait dans son recours. 3. En définitive, le recours s'avère mal fondé. Il doit être rejeté sans autre échange d’écritures (art. 390 al. 2 CPP) et le prononcé du 28 octobre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28 octobre 2015 est confirmé. III. Les frais de la procédure de recours, par 550 fr. (cinq cent cinquante francs), sont mis à la charge de K.________. IV. Le présent arrêt est exécutoire. Le président :               La greffière : Du Le présent arrêt, dont la rédaction a été approuvée à huis clos, est notifié, par l'envoi d'une copie complète, à : - M. K.________, - Me Emmanuel Hoffmann, avocat (pour [...]), - Ministère public central, et communiqué à : ‑ M. le Procureur de l’arrondissement de La Côte,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