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950 vom 22. Dezember 2015</w:t>
      </w:r>
    </w:p>
    <w:p>
      <w:r>
        <w:t>VD Tribunal cantonal, 2015-12-22, FR</w:t>
      </w:r>
    </w:p>
    <w:p>
      <w:r>
        <w:rPr>
          <w:b/>
        </w:rPr>
        <w:t xml:space="preserve">Quelle: </w:t>
      </w:r>
      <w:r>
        <w:t>https://mcp.opencaselaw.ch/entscheid/vd_findinfo_D_cision___2015___950</w:t>
      </w:r>
    </w:p>
    <w:p>
      <w:r>
        <w:t>FR: VD_FINDINFO Décision / 2015 / 950 du 22 décembre 2015</w:t>
      </w:r>
    </w:p>
    <w:p>
      <w:r>
        <w:t>IT: VD_FINDINFO Décision / 2015 / 950 del 22 dicembre 2015</w:t>
      </w:r>
    </w:p>
    <w:p>
      <w:pPr>
        <w:pStyle w:val="Heading2"/>
      </w:pPr>
      <w:r>
        <w:t>Regeste</w:t>
      </w:r>
    </w:p>
    <w:p>
      <w:r>
        <w:t>LIBÉRATION CONDITIONNELLE | 86 CP, 26 LEP, 38 LEP, 393 CPP (CH)</w:t>
      </w:r>
    </w:p>
    <w:p>
      <w:pPr>
        <w:pStyle w:val="Heading2"/>
      </w:pPr>
      <w:r>
        <w:t>Erwägungen</w:t>
      </w:r>
    </w:p>
    <w:p>
      <w:r>
        <w:rPr>
          <w:b/>
        </w:rPr>
        <w:t>E. 1.1</w:t>
      </w:r>
    </w:p>
    <w:p>
      <w:r>
        <w:t>L’art. 26 al. 1 let. a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prévues aux art. 393 ss CPP (Code de procédure pénale suisse du 5 octobre 2007 ; RS 312.0), par renvoi de l’art. 38 al. 2 LEP.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devant l’autorité compétente, par le condamné qui a qualité pour recourir (art. 382 al. 1 CPP). Conforme aux exigences de motivation prévues par l’art. 385 al. 1 CPP, il est ainsi recevable.</w:t>
      </w:r>
    </w:p>
    <w:p>
      <w:r>
        <w:rPr>
          <w:b/>
        </w:rPr>
        <w:t>E. 2.1</w:t>
      </w:r>
    </w:p>
    <w:p>
      <w:r>
        <w:t>Selon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consid. 2.3 ; ATF 133 IV 201 consid.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 ATF 133 IV 201 précité consid. 2.3 ; Maire, La libération conditionnelle, in: Kuhn/Moreillon/Viredaz/Bichovsky,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 ; ATF 119 IV 5 consid. 1b).</w:t>
      </w:r>
    </w:p>
    <w:p>
      <w:r>
        <w:rPr>
          <w:b/>
        </w:rPr>
        <w:t>E. 2.2</w:t>
      </w:r>
    </w:p>
    <w:p>
      <w:r>
        <w:t>En l'espèce, la condition objective des deux tiers de la peine prévue par l'art. 86 al. 1 CP est réalisée. La condition du bon comportement du recourant en détention doit également être considérée comme réalisée. Seule est donc litigieuse la question relative au pronostic. A cet égard, l'argumentation du Juge d'application des peines est convaincante et son appréciation, à laquelle se réfère intégralement la cour de céans, ne prête pas le flanc à la critique. En effet, les antécédents et la problématique toxicomaniaque du recourant nécessitent que celui-ci démontre qu’une libération conditionnelle repose sur des bases solides. Or, tel n’est pas le cas en l’état. En effet, le risque que l’intéressé consomme à nouveau des stupéfiants une fois libéré et commette des infractions est concret. S’il est vrai que le recourant a fait des efforts prodigieux et qu’il est sur la bonne voie, ce serait toutefois brûler les étapes que de le libérer conditionnellement à ce stade, alors qu’il n’a bénéficié que de deux sorties de 12 heures, étant rappelé qu’il avait rechuté dans la consommation de drogue lors de son passage en milieu ouvert. Le recul sur le comportement du recourant à l’extérieur n’est actuellement pas suffisant pour établir un pronostic qui ne soit pas défavorable, d’autant plus que le recourant manque de projets clairs et motivés. Certes, il n’est pas facile d’avoir des projets de travail lorsqu’on est détenu. Toutefois, avec l’aide des services sociaux de la prison, il est possible de préparer et d’organiser sa vie à sa sortie de prison. Par ailleurs, contrairement à ce que soutient le recourant, le fractionnement de ses congés en deux tranches de 12 heures lui laissait la possibilité de faire un certain nombre de démarches pour concrétiser ses projets. Quoi qu’il en soit, les modalités de ses sorties s’expliquent notamment par le fait que le recourant n’a pas voulu bénéficier de ses premiers congés. Au vu de l’ensemble de ces éléments, on doit admettre avec le premier juge qu’une libération conditionnelle du recourant apparaît en l’état prématurée et risquerait de compromettre les efforts effectués jusqu’à présent.</w:t>
      </w:r>
    </w:p>
    <w:p>
      <w:r>
        <w:rPr>
          <w:b/>
        </w:rPr>
        <w:t>E. 3</w:t>
      </w:r>
    </w:p>
    <w:p>
      <w:r>
        <w:t>Il résulte de ce qui précède que le recours doit être rejeté sans autres échanges d’écritures (art. 390 al. 2 CPP) et l’ordonnance attaquée confirmée. Les frais de la procédure de recours, constitués en l’espèce de l’émolument d’arrêt, par 1'100 fr. (art. 20 al. 1 TFIP [Tarif des frais de procédure et indemnités en matière pénale du 28 septembre 2010; RSV 312.03.1]) et des frais imputables à la défense d’office (art. 422 al. 1 et 2 let. a CPP), fixés à 720 fr., plus la TVA par 57 fr. 60, soit à 777 fr. 60 au total, seront mis à la charge du recourant, qui succombe (art. 428 al. 1 CPP). Par ces motifs, la Chambre des recours pénale prononce : I. Le recours est rejeté. II. L'ordonnance du 4 décembre 2015 est confirmée. III. L’indemnité allouée au défenseur d’office d’I.________ est fixée à 777 fr. 60 (sept cent septante-sept francs et soixante centimes). IV. Les frais du présent arrêt, par 1'100 fr. (mille cent francs), ainsi que l’indemnité due au défenseur d’office d’I.________, par 777 fr. 60 (sept cent septante-sept francs et soixante centimes), sont mis à la charge de ce dernier. V. Le remboursement à l'Etat de l'indemnité allouée au chiffre III ci-dessus sera exigible pour autant que la situation économique d’I.________ se soit améliorée. VI. Le présent arrêt est exécutoire. Le président :               La greffière : Du Le présent arrêt, dont la rédaction a été approuvée à huis clos, est notifié, par l'envoi d'une copie complète, à : - Me Robert Ayrton, avocat (pour I.________), - Ministère public central ; et communiqué à : - Mme la Juge d’application des peines, - M. le Procureur de l’arrondissement du Nord vaudois, - Office d’exécution des peines (réf. : OEP/PPL/9044/VRI/ipe), - Direction des Etablissements pénitentiaires de Witzwil,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