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94 vom 30. Januar 2015</w:t>
      </w:r>
    </w:p>
    <w:p>
      <w:r>
        <w:t>VD Tribunal cantonal, 2015-01-30, FR</w:t>
      </w:r>
    </w:p>
    <w:p>
      <w:r>
        <w:rPr>
          <w:b/>
        </w:rPr>
        <w:t xml:space="preserve">Quelle: </w:t>
      </w:r>
      <w:r>
        <w:t>https://mcp.opencaselaw.ch/entscheid/vd_findinfo_D_cision___2015___94</w:t>
      </w:r>
    </w:p>
    <w:p>
      <w:r>
        <w:t>FR: VD_FINDINFO Décision / 2015 / 94 du 30 janvier 2015</w:t>
      </w:r>
    </w:p>
    <w:p>
      <w:r>
        <w:t>IT: VD_FINDINFO Décision / 2015 / 94 del 30 gennaio 2015</w:t>
      </w:r>
    </w:p>
    <w:p>
      <w:pPr>
        <w:pStyle w:val="Heading2"/>
      </w:pPr>
      <w:r>
        <w:t>Regeste</w:t>
      </w:r>
    </w:p>
    <w:p>
      <w:r>
        <w:t>JONCTION DE CAUSES | 29 CPP (CH), 30 CPP (CH)</w:t>
      </w:r>
    </w:p>
    <w:p>
      <w:pPr>
        <w:pStyle w:val="Heading2"/>
      </w:pPr>
      <w:r>
        <w:t>Erwägungen</w:t>
      </w:r>
    </w:p>
    <w:p>
      <w:r>
        <w:rPr>
          <w:b/>
        </w:rPr>
        <w:t>E. 1</w:t>
      </w:r>
    </w:p>
    <w:p>
      <w:r>
        <w:t>Une ordonnance par laquelle le Ministère public ordonne la jonction ou la disjonction de procédures pénales (art. 30 CPP [Code de procédure pénale suisse du 5 octobre 2007; RS 312.0]) est susceptible d’un recours immédiat au sens des art. 393 ss CPP (Stephenson/Thiriet, in : Niggli/Heer/Wiprächtiger [éd.], Basler Kommentar, Schweizerische Strafprozessordnung, Jugendstrafprozessordnung, 2 e éd., Bâle 2014, n. 10 ad art. 393 CPP; CREP 25 mai 2012/305; CREP 10 avril 2012/225 c. 1a; CREP 22 mars 2012/193 c. 1). Elle peut être attaquée dans les dix jours devant l’autorité de recours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interjeté dans le délai légal auprès de l’autorité compétente par une partie qui a qualité pour recourir (cf. art. 382 al. 1 CPP) et satisfaisant aux conditions de forme posées par l’art. 385 al. 1 CPP, le recours est recevable.</w:t>
      </w:r>
    </w:p>
    <w:p>
      <w:r>
        <w:rPr>
          <w:b/>
        </w:rPr>
        <w:t>E. 2.1</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La disjonction doit constituer l'exception et l'unité de procédure la règle, dans un but d'économie de procédure, mais aussi dans celui de prévenir des décisions contraires (cf. ATF 138 IV 214 c. 3.2; cf. ég. Moreillon/Parein-Reymond, Petit Commentaire du Code de procédure pénale, Bâle 2013, n. 2 ad art. 30 CPP). La disjonction doit dès lors être fondée sur des motifs concrets et objectifs (ATF 138 IV 214 c. 3.2). Elle doit avant tout servir à garantir la rapidité de la procédure, respectivement à éviter un retard inutile (ATF 138 IV 214 c. 3.2 et les références citées). La doctrine cite les exemples de la prescription imminente de certaines des infractions poursuivies ou de la situation où certains prévenus sont hors d'atteinte (ibidem). En revanche, de simples motifs de commodité ne sauraient justifier une disjonction (Bertossa, in : Kuhn/Jeanneret [éd.], Commentaire romand, Code de procédure pénale suisse, Bâle 2011, n. 2 ad art. 30 CPP).</w:t>
      </w:r>
    </w:p>
    <w:p>
      <w:r>
        <w:rPr>
          <w:b/>
        </w:rPr>
        <w:t>E. 2.2</w:t>
      </w:r>
    </w:p>
    <w:p>
      <w:r>
        <w:t>En l'espèce, le recourant se borne à soutenir que son comportement envers les frères T.________ n'aurait nullement été répréhensible. Cette question est toutefois sans pertinence dans le cadre de l'examen du bien-fondé d'une ordonnance de jonction d'enquêtes pénales. Comme L.________ est prévenu dans les deux procédures en cause et qu'aucun motif susceptible de justifier une instruction séparée ne ressort du dossier, c'est à juste titre que le Ministère public a ordonné la jonction des causes. Il est précisé à l'intention du recourant qu'un prévenu ne peut pas s'opposer à la décision du ministère public d'ouvrir une instruction pénale à son encontre (cf. art. 309 al. 3 CPP).</w:t>
      </w:r>
    </w:p>
    <w:p>
      <w:r>
        <w:rPr>
          <w:b/>
        </w:rPr>
        <w:t>E. 3</w:t>
      </w:r>
    </w:p>
    <w:p>
      <w:r>
        <w:t>En définitive, le recours doit être rejeté sans autre échange d’écritures (art. 390 al. 2 CPP) et l’ordonnance attaquée confirmée. Les frais de la procédure de recours, constitués en l’espèce du seul émolument d'arrêt (art. 422 al. 1 CPP), par 440 fr. (art. 20 al. 1 TFIP [Tarif des frais de procédure et indemnités en matière pénale du 28 septembre 2010; RSV 312.03.1]), doivent être mis à la charge du recourant, qui succombe (art. 428 al. 1 CPP). Par ces motifs, la Chambre des recours pénale prononce : I. Le recours est rejeté. II. L’ordonnance du 16 janvier 2015 est confirmée. III. Les frais d’arrêt, par 440 fr. (quatre cent quarante francs), sont mis à la charge de L.________. IV. Le présent arrêt est exécutoire. Le président :               Le greffier : Du Le présent arrêt, dont la rédaction a été approuvée à huis clos, est notifié, par l'envoi d'une copie complète, à : - M. L.________, - M. Q.________, - M. B.T.________, - M. A.T.________, - M. P.________,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