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937 vom 16. Dezember 2015</w:t>
      </w:r>
    </w:p>
    <w:p>
      <w:r>
        <w:t>VD Tribunal cantonal, 2015-12-16, FR</w:t>
      </w:r>
    </w:p>
    <w:p>
      <w:r>
        <w:rPr>
          <w:b/>
        </w:rPr>
        <w:t xml:space="preserve">Quelle: </w:t>
      </w:r>
      <w:r>
        <w:t>https://mcp.opencaselaw.ch/entscheid/vd_findinfo_D_cision___2015___937</w:t>
      </w:r>
    </w:p>
    <w:p>
      <w:r>
        <w:t>FR: VD_FINDINFO Décision / 2015 / 937 du 16 décembre 2015</w:t>
      </w:r>
    </w:p>
    <w:p>
      <w:r>
        <w:t>IT: VD_FINDINFO Décision / 2015 / 937 del 16 dicembre 2015</w:t>
      </w:r>
    </w:p>
    <w:p>
      <w:pPr>
        <w:pStyle w:val="Heading2"/>
      </w:pPr>
      <w:r>
        <w:t>Regeste</w:t>
      </w:r>
    </w:p>
    <w:p>
      <w:r>
        <w:t>DÉFENSE D'OFFICE, REJET DE LA DEMANDE, INTERPRÈTE | 292 CP, 132 CPP (CH), 176 al. 1 CPP (CH), 64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(cf. ATF 140 IV 202 consid. 2.2, SJ 2015 I 73 ; ATF 139 IV 113, JdT 2014 IV 30 ; CREP 2 juillet 2015/ 455; CREP 4 février 2015/90).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(art. 396 al. 1 CPP) par le prévenu qui a qualité pour recourir (art. 382 al. 1 CPP), le recours est recevable.</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consid. 5.2; ATF 128 I 225 consid. 2.5.2; CREP 3 août 2011/291).</w:t>
      </w:r>
    </w:p>
    <w:p>
      <w:r>
        <w:rPr>
          <w:b/>
        </w:rPr>
        <w:t>E. 2.2</w:t>
      </w:r>
    </w:p>
    <w:p>
      <w:r>
        <w:t>En l’occurrence, l’ordonnance pénale à laquelle K.________ a fait opposition le condamnait à une amende d’ordre de 1'000 francs. Il s’agit ainsi assurément d’un cas bagatelle au sens défini ci-dessus. Par ailleurs, on ne saurait admettre que l’affaire présente objectivement, sur le plan des faits ou du droit, des difficultés que le prévenu ne pourrait pas assumer seul. En effet, le recours à un interprète permettra au recourant de surmonter les éventuelles difficultés de langage qu’il évoque (art. 68 al. 1 CPP). A cela s’ajoute encore que le comportement qui lui est reproché ne constitue à l’évidence pas un comportement pénalement répréhensible dans la mesure où, lors de son audition le 6 mai 2015 par les autorités bernoises, il n’y a pas eu de commination au sens de l’art. 292 CP (art. 176 al. 2 CPP). C’est donc tout au plus une sanction disciplinaire qui aurait pu être prononcée contre lui dans le cadre de l’enquête ouverte contre inconnu, par le biais d’une décision sujette à recours (art. 64 al. 2 CPP). Partant, la situation juridique, respectivement l’issue de la présente procédure est évidente et ne présente aucune difficulté.</w:t>
      </w:r>
    </w:p>
    <w:p>
      <w:r>
        <w:rPr>
          <w:b/>
        </w:rPr>
        <w:t>E. 3</w:t>
      </w:r>
    </w:p>
    <w:p>
      <w:r>
        <w:t>En définitive, le recours doit être rejeté sans autre échange d’écritures (art. 390 al. 2 CPP) et le prononcé attaqué confirmé.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 décembre 2015 est confirmé. III. Les frais du présent arrêt, par 660 fr. (six cent soixante francs), sont mis à la charge de K.________. IV. Le présent arrêt est exécutoire. Le président :               La greffière : Du Le présent arrêt, dont la rédaction a été approuvée à huis clos, est notifié, par l'envoi d'une copie complète, à : - M.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