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935 vom 17. Dezember 2015</w:t>
      </w:r>
    </w:p>
    <w:p>
      <w:r>
        <w:t>VD Tribunal cantonal, 2015-12-17, FR</w:t>
      </w:r>
    </w:p>
    <w:p>
      <w:r>
        <w:rPr>
          <w:b/>
        </w:rPr>
        <w:t xml:space="preserve">Quelle: </w:t>
      </w:r>
      <w:r>
        <w:t>https://mcp.opencaselaw.ch/entscheid/vd_findinfo_D_cision___2015___935</w:t>
      </w:r>
    </w:p>
    <w:p>
      <w:r>
        <w:t>FR: VD_FINDINFO Décision / 2015 / 935 du 17 décembre 2015</w:t>
      </w:r>
    </w:p>
    <w:p>
      <w:r>
        <w:t>IT: VD_FINDINFO Décision / 2015 / 935 del 17 dicembre 2015</w:t>
      </w:r>
    </w:p>
    <w:p>
      <w:pPr>
        <w:pStyle w:val="Heading2"/>
      </w:pPr>
      <w:r>
        <w:t>Regeste</w:t>
      </w:r>
    </w:p>
    <w:p>
      <w:r>
        <w:t>RISQUE DE COLLUSION, RISQUE DE RÉCIDIVE | 221 al. 1 let. b CPP (CH), 221 al. 1 let. c CPP (CH), 221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Le recourant nie partiellement les faits incriminés. Il ne prend pourtant aucune conclusion expressément déduite du défaut de présomptions de culpabilité suffisantes, mais se limite à contester les risques de collusion et de réitération retenus par le premier juge. On se bornera dès lors à rappeler qu’au moment du dépôt de la plainte, les agents de police ont constaté un hématome et une blessure au visage de la plaignante. De surcroît, la sœur de celle-ci, qui a vécu quatre mois en ménage commun avec les deux concubins, a constaté personnellement que le prévenu séquestrait sa victime et proférait des injures à son encontre. Pour le reste, l’intéressé a reconnu diverses infractions, notamment contre l’intégrité corporelle de la plaignante, tout comme il a avoué avoir proféré des menaces de mort à son égard. Le prévenu doit dès lors être fortement soupçonné d’avoir commis un crime ou un délit au sens de l’art. 221 al. 1 in initio CPP.</w:t>
      </w:r>
    </w:p>
    <w:p>
      <w:r>
        <w:rPr>
          <w:b/>
        </w:rPr>
        <w:t>E. 3.1</w:t>
      </w:r>
    </w:p>
    <w:p>
      <w:r>
        <w:t>A l’appui de ses conclusions principales, le recourant conteste d’abord l’existence d’un risque de collusion propre à justifier son maintien en détention provisoire.</w:t>
      </w:r>
    </w:p>
    <w:p>
      <w:r>
        <w:rPr>
          <w:b/>
        </w:rPr>
        <w:t>E. 3.2</w:t>
      </w:r>
    </w:p>
    <w:p>
      <w:r>
        <w:t>Selon l'art. 221 al. 1 let. b CPP,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in : Kuhn/Jeanneret [éd.], Commentaire romand, Code de procédure pénale, Bâle 2011, nn. 14 et 15 ad art. 221 CPP; cf. ATF 137 IV 122 consid. 6.2 et 6.4) – vise à garantir la constatation exacte et complète des faits.</w:t>
      </w:r>
    </w:p>
    <w:p>
      <w:r>
        <w:rPr>
          <w:b/>
        </w:rPr>
        <w:t>E. 3.3</w:t>
      </w:r>
    </w:p>
    <w:p>
      <w:r>
        <w:t>En l’espèce, il apparaît, en l’état de l’enquête, que le recourant a tenté de manière récurrente d’exercer une emprise sur la plaignante pour la soumettre à sa volonté en l’isolant. C’est ainsi qu’il l’a surveillée, l’a accompagnée lors de sorties, l’a séquestrée au domicile commun des partenaires, l’a intimidée verbalement et lui a, à une occasion au moins, arraché son téléphone portable afin de la priver de la faculté d’appeler au secours. De tels actes ne peuvent qu’impliquer que le prévenu sera tenté d’essayer de l’influencer à nouveau, y compris par téléphone ou par des moyens électroniques, pour susciter un retrait de plainte ou l’amener à présenter une version des faits orientée en sa faveur, le cas échéant en la menaçant de représailles. Il en va d’autant plus ainsi qu’il est en partie dépendant d’elle économiquement et que, de son propre aveu, la privation de cannabis l’amène à     « risque[r] de hausser la voix ». La propension du prévenu à transgresser les interdits est du reste patente. On ne saurait dès lors ajouter foi à son engagement de ne plus prendre contact avec la plaignante.</w:t>
      </w:r>
    </w:p>
    <w:p>
      <w:r>
        <w:rPr>
          <w:b/>
        </w:rPr>
        <w:t>E. 3.4</w:t>
      </w:r>
    </w:p>
    <w:p>
      <w:r>
        <w:t>La détention provisoire étant justifiée par le seul risque de collusion, il ne serait pas nécessaire d’examiner l'existence d’un risque de réitération (cf. art. 221 al. 1 let. b CPP), retenu par le Tribunal des mesures de contrainte et contesté à l’appui du recours (cf. TF 7 juin 2011/1B_249/2011 consid. 2.4). Par surabondance, on relèvera néanmoins que la propension de longue date du prévenu à la violence est suffisamment établie par les condamnations dont il a fait l’objet, s’agissant en bonne partie de faits antérieurs à la relation nouée avec la plaignante. Les actes de violence domestique ici en cause s’étendent sur plus d’un an. Qui plus est, il apparaît, en l’état des investigations, que le prévenu a continué à commettre de tels actes après que des policiers étaient intervenus dans le logement des concubins et avaient tenté de le raisonner. Les infractions à redouter sont de nature à porter atteinte à des biens juridiquement protégés essentiels, à savoir, notamment, la liberté et l’intégrité corporelle. Ils constituent donc des crimes ou des délits graves au sens de l’art. 221 al. 1 let. c CPP.</w:t>
      </w:r>
    </w:p>
    <w:p>
      <w:r>
        <w:rPr>
          <w:b/>
        </w:rPr>
        <w:t>E. 4.1</w:t>
      </w:r>
    </w:p>
    <w:p>
      <w:r>
        <w:t>A titre subsidiaire, le recourant demande le prononcé de mesures de substitution à la durée de détention provisoire.</w:t>
      </w:r>
    </w:p>
    <w:p>
      <w:r>
        <w:rPr>
          <w:b/>
        </w:rPr>
        <w:t>E. 4.2</w:t>
      </w:r>
    </w:p>
    <w:p>
      <w:r>
        <w:t>Force est de constater qu’aucune mesure de substitution n’est susceptible, pour parer au risque de collusion retenu, d’atteindre le même but que la détention provisoire (art. 212 al. 2 let. c et 237 CPP). En effet, comme déjà relevé, le prévenu témoigne d’une inquiétante propension à la violence, ce qui exclut d’ajouter foi à son engagement de ne plus prendre contact avec la plaignante. Les actes dont il est soupçonné, s’agissant même uniquement de ceux qui ont été avoués, ainsi que ses antécédents pénaux, dénotent un particulier mépris d’autrui. Le domicile de sa mère n’est pas suffisamment éloigné de celui de la plaignante pour dissuader toute tentation de renouer le contact. Ce qui précède s’applique mutatis mutandis au risque de réitération.</w:t>
      </w:r>
    </w:p>
    <w:p>
      <w:r>
        <w:rPr>
          <w:b/>
        </w:rPr>
        <w:t>E. 5</w:t>
      </w:r>
    </w:p>
    <w:p>
      <w:r>
        <w:t>En définitive, le recours, manifestement mal fondé, doit être rejeté sans autre échange d’écritures (art. 390 al. 2 CPP) et l'ordonnance du 1 er décembre 2015 confirmée. Les frais de la procédure de recours, constitués en l’espèce de l'émolument d'arrêt (art. 422 al. 1 CPP), par 880 fr. (art. 20 al. 1 TFIP [tarif des frais de procédure et indemnités en matière pénale du 28 septembre 2010; RSV 312.03.1]), et des frais imputables à la défense d'office du recourant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 er décembre 2015 est confirmée. III. L'indemnité allouée au défenseur d'office de S.________ est fixée à 583 fr. 20 (cinq cent huitante-trois francs et vingt centimes). IV. Les frais du présent arrêt, par 880 fr. (huit cent huitante francs), ainsi que l'indemnité due au défenseur d'office de S.________ selon le chiffre III ci-dessus, sont mis à la charge de ce dernier. V. Le remboursement à l'Etat de l'indemnité allouée au chiffre III ci-dessus sera exigible pour autant que la situation de S.________ se soit améliorée. VI. Le présent arrêt est exécutoire. Le président :               Le greffier : Du Le présent arrêt, dont la rédaction a été approuvée à huis clos, est notifié, par l'envoi d'une copie complète, à : - Me Michaël Stauffacher, avocat (pour S.________), - Ministère public central, et communiqué à : - Mme [...], - Mme la Procureure de l’arrondissement de Lausanne, - M. le Président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