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934 vom 17. Dezember 2015</w:t>
      </w:r>
    </w:p>
    <w:p>
      <w:r>
        <w:t>VD Tribunal cantonal, 2015-12-17, FR</w:t>
      </w:r>
    </w:p>
    <w:p>
      <w:r>
        <w:rPr>
          <w:b/>
        </w:rPr>
        <w:t xml:space="preserve">Quelle: </w:t>
      </w:r>
      <w:r>
        <w:t>https://mcp.opencaselaw.ch/entscheid/vd_findinfo_D_cision___2015___934</w:t>
      </w:r>
    </w:p>
    <w:p>
      <w:r>
        <w:t>FR: VD_FINDINFO Décision / 2015 / 934 du 17 décembre 2015</w:t>
      </w:r>
    </w:p>
    <w:p>
      <w:r>
        <w:t>IT: VD_FINDINFO Décision / 2015 / 934 del 17 dicembre 2015</w:t>
      </w:r>
    </w:p>
    <w:p>
      <w:pPr>
        <w:pStyle w:val="Heading2"/>
      </w:pPr>
      <w:r>
        <w:t>Regeste</w:t>
      </w:r>
    </w:p>
    <w:p>
      <w:r>
        <w:t>RISQUE DE RÉCIDIVE, RISQUE DE FUITE |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2.2</w:t>
      </w:r>
    </w:p>
    <w:p>
      <w:r>
        <w:t>Le recourant conteste l’étranglement, même s’il admet certains dérapages (recours, p. 3). Les éléments au dossier permettent toutefois de retenir la violence dont fait régulièrement preuve le prévenu. On relèvera tout d’abord que les déclarations de la plaignante sont corroborées par les témoignages d’une voisine ayant assisté à une altercation (P. 4, p. 6) et de son amie H.________, qui a assisté à deux altercations, dont celle de septembre 2015, et qui a déclaré : « ce jour-là, j’ai vraiment cru qu’il allait lui casser les deux bras. Il lui avait donné une claque. C’était violent et j’avais pleuré » (PV aud. 4, p. 3, l. 84 ss). A cela s’ajoutent  ensuite divers rapports médicaux qui attestent des violences subies par V.________, notamment un rapport radiologique du 9 mai 2015 (P. 13) concernant la mâchoire de cette dernière et un certificat de coups et blessures du Centre médical de Clarens Montreux du 30 septembre 2015 (P. 15), précisé par courrier du 24 novembre 2015 (P. 43). Par ailleurs, une attestation médicale de la Dresse [...] (P. 31), complétée par courrier du 25 novembre 2015 (P. 44), indique que la victime a révélé pendant les consultations qu’elle subissait régulièrement des violences de la part du prévenu, ce qui a entraîné chez elle un état anxio-dépresif massif. Il est précisé que V.________ est terrifiée et souffre d’un syndrome post-traumatique à cause de ce qu’elle a subi comme violence, autant verbale que physique, du prévenu ainsi que de ses menaces de mort et qu’il est absolument contre-indiqué que la partie plaignante soit approchée ou ait un quelconque rapport avec le prévenu. Au vu de ce qui précède et à ce stade de l’enquête, il y a lieu d’admettre qu’il existe des soupçons suffisants à l’encontre du prévenu au sens de l’art. 221 al. 1 CPP.</w:t>
      </w:r>
    </w:p>
    <w:p>
      <w:r>
        <w:rPr>
          <w:b/>
        </w:rPr>
        <w:t>E. 3.1</w:t>
      </w:r>
    </w:p>
    <w:p>
      <w:r>
        <w:t>Le recourant conteste le risque de réitération et soutient que c’est à tort que le Tribunal des mesures de contrainte a retenu l’existence d’un pronostic très défavorable.</w:t>
      </w:r>
    </w:p>
    <w:p>
      <w:r>
        <w:rPr>
          <w:b/>
        </w:rPr>
        <w:t>E. 3.2</w:t>
      </w:r>
    </w:p>
    <w:p>
      <w:r>
        <w:t>Le maintien en détention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et de son agressivité (ATF 123 I 268 consid. 2e).</w:t>
      </w:r>
    </w:p>
    <w:p>
      <w:r>
        <w:rPr>
          <w:b/>
        </w:rPr>
        <w:t>E. 3.3</w:t>
      </w:r>
    </w:p>
    <w:p>
      <w:r>
        <w:t>En l’occurrence, les éléments relevés ci-dessus (cf. consid 2.2 supra) démontrent que le prévenu s’en est pris à plusieurs reprises à V.________ depuis 2013 et que ses actes de violence semblent être de plus en plus sérieux, la prénommée ayant notamment spécifié qu’à son avis « l’épisode le plus violent c’était le 22 octobre 2015, car il m’a étranglé (sic) à deux reprises » (PV aud. 2 p. 5, l. 167). Le casier judiciaire de G.________ et les éléments factuels démontrent au surplus une propension à la violence très inquiétante chez ce dernier, qui n’a pas hésité à enfreindre la loi pénale à maintes reprises, malgré de multiples passages en prison. Par ailleurs, au vu de l’état de santé psychique du recourant et de sa situation pour le moins précaire (cf. supra A. d in fine ), on ne saurait retenir que seule V.________ puisse être touchée par de nouveaux actes de violence, d’autant que le prévenu ne fait preuve d’aucune prise de conscience évidente. Il est encore à relever que le suivi ambulatoire, bien qu’ordonné dans un autre contexte, n’a pas permis de parer au risque de réitération. Au vu de tous ces éléments, et bien que le prévenu conteste les faits les plus graves, le risque qu’il s’en prenne à nouveau à V.________, voire à des tiers, est manifeste et il importe de faire primer la protection de l’intégrité physique de ceux-ci, particulièrement de la plaignante, sur la liberté du prévenu. Partant, seul un pronostic très défavorable doit être retenu. Le risque de réitération étant réalisé, il n’est pas nécessaire d’examiner si les risques de fuite et de collusion le sont également, les conditions de l’art. 221 al. 1 CPP étant alternatives. A ce stade, comme l’a relevé à raison le Tribunal des mesures de contrainte, les mesures de substitution proposées par le recourant sont insuffisantes à pallier le risque de récidive, au vu de ses antécédents. Le recourant n’a d’ailleurs pas respecté des injonctions judiciaires récentes, à savoir se soumettre à des contrôles d’abstinence, de sorte que l’on peut fortement douter qu’il soit apte à respecter une interdiction de périmètre et/ou de contact.</w:t>
      </w:r>
    </w:p>
    <w:p>
      <w:r>
        <w:rPr>
          <w:b/>
        </w:rPr>
        <w:t>E. 4</w:t>
      </w:r>
    </w:p>
    <w:p>
      <w:r>
        <w:t>Pour le surplus, le principe de la proportionnalité des intérêts en présence est respecté. En l’espèce, compte tenu des infractions faisant l'objet de l'instruction, les deux mois de détention subis à ce jour par G.________ demeurent proportionnés à la peine concrètement encourue en cas de condamnation.</w:t>
      </w:r>
    </w:p>
    <w:p>
      <w:r>
        <w:rPr>
          <w:b/>
        </w:rPr>
        <w:t>E. 5</w:t>
      </w:r>
    </w:p>
    <w:p>
      <w:r>
        <w:t>En définitive, le recours doit être rejeté sans autre échange d’écritures (art. 390 al. 2 CPP) et l'ordonnance du 1 er décembre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G.________ ne sera toutefois exigible que pour autant que la situation économique de ce dernier se soit améliorée (art. 135 al. 4 CPP). Par ces motifs, la Chambre des recours pénale prononce : I. Le recours est rejeté. II. L’ordonnance du 1 er décembre 2015 est confirmée. III. L'indemnité allouée au défenseur d'office de G.________ est fixée à 583 fr. 20 (cinq cent huitante trois francs et vingt centimes). IV. Les frais du présent arrêt, par 880 fr. (huit cent huitante francs), ainsi que l’indemnité due au défenseur d’office de G.________ par 583 fr. 20 (cinq cent huitante-trois francs et vingt centimes), sont mis à la charge de ce dernier. V. Le remboursement à l'Etat de l'indemnité allouée au chiffre III ci-dessus sera exigible pour autant que la situation économique de G.________ se soit améliorée. VI. Le présent arrêt est exécutoire. Le président :               La greffière : Du Le présent arrêt, dont la rédaction a été approuvée à huis clos, est notifié, par l'envoi d'une copie complète, à : - Me Tiphanie Chappuis, avocate (pour G.________), - Ministère public central, et communiqué à : ‑ M. le Procureur de l’arrondissement du Nord vaudois, - M. le Président du Tribunal des mesures de contrainte, - Me Marie-Pomme Moinat, avocate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