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933 vom 17. Dezember 2015</w:t>
      </w:r>
    </w:p>
    <w:p>
      <w:r>
        <w:t>VD Tribunal cantonal, 2015-12-17, FR</w:t>
      </w:r>
    </w:p>
    <w:p>
      <w:r>
        <w:rPr>
          <w:b/>
        </w:rPr>
        <w:t xml:space="preserve">Quelle: </w:t>
      </w:r>
      <w:r>
        <w:t>https://mcp.opencaselaw.ch/entscheid/vd_findinfo_D_cision___2015___933</w:t>
      </w:r>
    </w:p>
    <w:p>
      <w:r>
        <w:t>FR: VD_FINDINFO Décision / 2015 / 933 du 17 décembre 2015</w:t>
      </w:r>
    </w:p>
    <w:p>
      <w:r>
        <w:t>IT: VD_FINDINFO Décision / 2015 / 933 del 17 dicembre 2015</w:t>
      </w:r>
    </w:p>
    <w:p>
      <w:pPr>
        <w:pStyle w:val="Heading2"/>
      </w:pPr>
      <w:r>
        <w:t>Regeste</w:t>
      </w:r>
    </w:p>
    <w:p>
      <w:r>
        <w:t>SORTIE | 84 al. 6 CP</w:t>
      </w:r>
    </w:p>
    <w:p>
      <w:pPr>
        <w:pStyle w:val="Heading2"/>
      </w:pPr>
      <w:r>
        <w:t>Erwägungen</w:t>
      </w:r>
    </w:p>
    <w:p>
      <w:r>
        <w:rPr>
          <w:b/>
        </w:rPr>
        <w:t>E. 1</w:t>
      </w:r>
    </w:p>
    <w:p>
      <w:r>
        <w:t>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 RSV 173.01]).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 Interjeté dans le délai légal auprès de l’autorité compétente par Z.________ qui a qualité pour recourir (art. 382 al. 1 CPP), le recours est recevable.</w:t>
      </w:r>
    </w:p>
    <w:p>
      <w:r>
        <w:rPr>
          <w:b/>
        </w:rPr>
        <w:t>E. 2</w:t>
      </w:r>
    </w:p>
    <w:p>
      <w:r>
        <w:t>Le recourant conteste le risque de récidive retenu par l’OEP pour justifier le refus de congé et invoque qu’il ne présente aucun risque de fuite.</w:t>
      </w:r>
    </w:p>
    <w:p>
      <w:r>
        <w:rPr>
          <w:b/>
        </w:rPr>
        <w:t>E. 2.1</w:t>
      </w:r>
    </w:p>
    <w:p>
      <w:r>
        <w:t>En vertu de l’art. 84 al. 6 CP (Code pénal suisse du 21 décembre 1937;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6B_1027/2010 du 4 avril 2011 consid. 4.3.1 ; TF 6B_349/2008 du 24 juin 2008 consid. 3.2). Le juge chargé d’émettre le pronostic dispose d’un large pouvoir d’appréciation (ATF 133 IV 201 consid. 2.3).</w:t>
      </w:r>
    </w:p>
    <w:p>
      <w:r>
        <w:rPr>
          <w:b/>
        </w:rPr>
        <w:t>E. 2.2</w:t>
      </w:r>
    </w:p>
    <w:p>
      <w:r>
        <w:t>Dans le canton de Vaud, les autorisations de sortie et la procédure sont réglementées aux art. 94 à 106 RSC (Règlement sur le statut des condamnés exécutant une peine privative de liberté et les régimes de détention applicables du 24 janvier 2007 ; RSV 340.01.1). Un congé vise à permettre au détenu d’entretenir des relations avec le monde extérieur et de préparer sa libération (art. 94 RSC). Afin d’obtenir un congé, il faut avoir accompli au moins le tiers de la peine et avoir séjourné au moins deux mois dans le même établissement et, notamment, démontrer que l’attitude en cours de détention rend le détenu digne de la confiance accrue qu’il sollicite et que l’autorisation de sortie sollicitée est compatible avec la protection de la sécurité publique (art. 96 al. 1 RSC). Selon l’art. 2 du RASAdultes (Règlement concernant l’octroi d’autorisations de sortie aux personnes condamnées adultes et jeunes adultes (du 31 octobre 2013 ; RSV 340.93.1), l’autorisation de sortie ne doit pas enlever à la condamnation ni ses caractères de prévention, ni nuire à la sécurité ou mettre en danger la collectivité (al.1). Les personnes détenues en exécution anticipée de peine ou de mesures peuvent bénéficier d’une conduite, d’une permission ou d’un congé, l’autorité judiciaire pouvant être appelée à donner son préavis (al. 2). Les autorités compétentes ne peuvent octroyer une autorisation de sortie à une personne détenue contre laquelle une enquête pénale est ouverte qu’avec l’accord préalable de l’autorité judiciaire compétente (al.5).</w:t>
      </w:r>
    </w:p>
    <w:p>
      <w:r>
        <w:rPr>
          <w:b/>
        </w:rPr>
        <w:t>E. 2.3</w:t>
      </w:r>
    </w:p>
    <w:p>
      <w:r>
        <w:t>En l’espèce, c’est à tort que le recourant conteste le risque de récidive retenu par l’OEP dans sa décision du 25 novembre 2015. Une enquête pénale est actuellement diligentée contre Z.________ notamment car il lui est reproché d’avoir commis pas moins de 61 vols. Dans son ordonnance du 27 avril 2015, le Tribunal des mesures de contrainte, se ralliant au préavis du Ministère public, avait estimé que des mesures de substitution, sous forme d’une obligation de se soumettre à un traitement médical auprès d’une fondation spécialisée, seraient à même de pallier au risque de récidive présenté Z.________, dès lors qu’il apparaissait que sa dépendance aux produits stupéfiants était étroitement liée à la commission de délits. Malgré la chance qui lui a été donnée, le prévenu, violant ses obligations de séjour, a été replacé en détention provisoire peu après. En outre, le comportement de Z.________ en détention n’est pas irréprochable. Ce dernier a fait l’objet d’une sanction disciplinaire le 8 juillet 2015 pour inobservation des règlements et des directives. Dans ces circonstances, au vu notamment des nombreuses infractions qui sont reprochées au prévenu et du comportement ayant donné lieu à la révocation des mesures de substitution qui lui avaient été octroyées, le risque de récidive est manifeste. Partant, il y a lieu de constater que les conditions de l’octroi d’un congé ne sont pas réalisées.</w:t>
      </w:r>
    </w:p>
    <w:p>
      <w:r>
        <w:rPr>
          <w:b/>
        </w:rPr>
        <w:t>E. 3</w:t>
      </w:r>
    </w:p>
    <w:p>
      <w:r>
        <w:t>En définitive, le recours, manifestement mal fondé, doit être rejeté sans autres échanges d’écritures (art. 390 al. 2 CPP) et la décision de l’OEP du 25 novembre 2015 confirmée. Les frais de la procédure de recours, constitués en l’espèce de l’émolument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25 novembre 2015 est confirmée. III. Les frais du présent arrêt, par 550 fr. (cinq cent cinquante francs), sont mis à la charge de Z.________. IV. Le présent arrêt est exécutoire. Le président :               La greffière : Du Le présent arrêt, dont la rédaction a été approuvée à huis clos, est notifié, par l'envoi d'une copie complète, à : - Me Mathias Eusebio, avocat (pour Z.________) (et par fax), - Ministère public central (et par fax), et communiqué à : - Office d’exécution des peines (OEP/PPL/69247/BD) (et par fax), - Prison de la Croisée (et par 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