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929 vom 11. Dezember 2015</w:t>
      </w:r>
    </w:p>
    <w:p>
      <w:r>
        <w:t>VD Tribunal cantonal, 2015-12-11, FR</w:t>
      </w:r>
    </w:p>
    <w:p>
      <w:r>
        <w:rPr>
          <w:b/>
        </w:rPr>
        <w:t xml:space="preserve">Quelle: </w:t>
      </w:r>
      <w:r>
        <w:t>https://mcp.opencaselaw.ch/entscheid/vd_findinfo_D_cision___2015___929</w:t>
      </w:r>
    </w:p>
    <w:p>
      <w:r>
        <w:t>FR: VD_FINDINFO Décision / 2015 / 929 du 11 décembre 2015</w:t>
      </w:r>
    </w:p>
    <w:p>
      <w:r>
        <w:t>IT: VD_FINDINFO Décision / 2015 / 929 del 11 dicembre 2015</w:t>
      </w:r>
    </w:p>
    <w:p>
      <w:pPr>
        <w:pStyle w:val="Heading2"/>
      </w:pPr>
      <w:r>
        <w:t>Regeste</w:t>
      </w:r>
    </w:p>
    <w:p>
      <w:r>
        <w:t>OPPOSITION{PROCÉDURE} | 354 CPP (CH), 356 al. 2 CPP (CH), 356 al. 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CREP 23 avril 2012/197).</w:t>
      </w:r>
    </w:p>
    <w:p>
      <w:r>
        <w:rPr>
          <w:b/>
        </w:rPr>
        <w:t>E. 2.1</w:t>
      </w:r>
    </w:p>
    <w:p>
      <w:r>
        <w:t>Il ressort des motifs de l’arrêt du Tribunal fédéral du 26 novembre 2015 que la fiction du retrait de l’opposition prévue par l’art. 356 al. 4 CPP ne trouve pas à s’appliquer en l’espèce. Il s’ensuit qu’il appartient au Tribunal de police de fixer une audience pour statuer sur l’opposition formée le 12 juin 2014 par le prévenu contre l'ordonnance pénale rendue le 28 mai 2014 par le Ministère public de l'arrondissement de Lausanne, cette ordonnance ne pouvant dès lors, en l’état, être tenue pour définitive et exécutoire.</w:t>
      </w:r>
    </w:p>
    <w:p>
      <w:r>
        <w:rPr>
          <w:b/>
        </w:rPr>
        <w:t>E. 3</w:t>
      </w:r>
    </w:p>
    <w:p>
      <w:r>
        <w:t>Il résulte de ce qui précède que le recours doit être admis. Le prononcé du</w:t>
      </w:r>
    </w:p>
    <w:p>
      <w:r>
        <w:rPr>
          <w:b/>
        </w:rPr>
        <w:t>E. 6</w:t>
      </w:r>
    </w:p>
    <w:p>
      <w:r>
        <w:t>octobre 2014 sera annulé et le dossier de la cause renvoyé au Tribunal de police de l’arrondissement de Lausanne pour qu’il procède dans le sens des considérants. Les frais du présent arrêt, par 440 fr. (art. 20 al. 1 TFIP [tarif des frais de procédure et indemnités en matière pénale; RSV 312.03.1]), seront laissés à la charge de l'Etat (art. 423 al. 1 CPP). Le recourant obtenant gain de cause, les frais de l’arrêt du 20 février 2015 annulé par le Tribunal fédéral seront également laissés à la charge de l'Etat. Par ces motifs, la Chambre des recours pénale prononce : I. Le recours est admis. II. Le prononcé du 6 octobre 2014 est annulé. III. Le dossier de la cause est renvoyé au Tribunal de police de l’arrondissement de Lausanne pour qu’il procède dans le sens des considérants. IV. Les frais du présent arrêt, par 440 fr. (quatre cent quarante francs), ainsi que les frais de l’arrêt du 20 février 2015, par 660 fr. (six cent soixante francs), sont laissés à la charge de l’Etat. V. Le présent arrêt est exécutoire. Le président :               Le greffier : Du Le présent arrêt, dont la rédaction a été approuvée à huis clos, est notifié, par l'envoi d'une copie complète, à : - M. J.________, - Ministère public central; et communiqué à : ‑ Mme la Présidente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