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928 vom 15. Dezember 2015</w:t>
      </w:r>
    </w:p>
    <w:p>
      <w:r>
        <w:t>VD Tribunal cantonal, 2015-12-15, FR</w:t>
      </w:r>
    </w:p>
    <w:p>
      <w:r>
        <w:rPr>
          <w:b/>
        </w:rPr>
        <w:t xml:space="preserve">Quelle: </w:t>
      </w:r>
      <w:r>
        <w:t>https://mcp.opencaselaw.ch/entscheid/vd_findinfo_D_cision___2015___928</w:t>
      </w:r>
    </w:p>
    <w:p>
      <w:r>
        <w:t>FR: VD_FINDINFO Décision / 2015 / 928 du 15 décembre 2015</w:t>
      </w:r>
    </w:p>
    <w:p>
      <w:r>
        <w:t>IT: VD_FINDINFO Décision / 2015 / 928 del 15 dicembre 2015</w:t>
      </w:r>
    </w:p>
    <w:p>
      <w:pPr>
        <w:pStyle w:val="Heading2"/>
      </w:pPr>
      <w:r>
        <w:t>Regeste</w:t>
      </w:r>
    </w:p>
    <w:p>
      <w:r>
        <w:t>DÉTENTION POUR DES MOTIFS DE SÛRETÉ, RISQUE DE RÉCIDIVE, PROPORTIONNALITÉ, MESURE DE SUBSTITUTION À LA DÉTENTION, CONTRAINTE{DROIT PÉNAL}, INFRACTIONS CONTRE LE DOMAINE SECRET | 221 al. 1 let. c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recourante ne conteste pas – avec raison – les soupçons de la commission des infractions. Elle conteste cependant l’existence d’un risque de réitération et soutient notamment que les infractions qui lui sont reprochées ne revêtiraient pas la gravité nécessaire pour une mise en détention.</w:t>
      </w:r>
    </w:p>
    <w:p>
      <w:r>
        <w:rPr>
          <w:b/>
        </w:rPr>
        <w:t>E. 2.2</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consid. 4.5 ; TF 1B_731/2011 du 16 janvier 2012 consid. 3.1).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Dans le cadre de l’art. 221 al. 1 let. c CPP, la détention provisoire permet d’empêcher la personne concernée de poursuivre son activité délictueuse ou de mettre ses menaces à exécution. Cette solution peut également permettre de remplir l’objectif de célérité en évitant que la procédure ne soit sans cesse ralentie et prolongée par la commission de nouveaux délits (Moreillon/Parein-Reymond, Petit commentaire du code de procédure pénale, Bâle 2013, n. 38 ad art. 221 CPP ; TF 1B_201/2014 du 19 juin 2014 consid. 3.2).</w:t>
      </w:r>
    </w:p>
    <w:p>
      <w:r>
        <w:rPr>
          <w:b/>
        </w:rPr>
        <w:t>E. 2.3</w:t>
      </w:r>
    </w:p>
    <w:p>
      <w:r>
        <w:t>En l’espèce, selon l’acte d’accusation du 23 novembre 2015, P.________ s’est rendue coupable d’une multitude d’infractions contre l’honneur et la liberté. Les infractions retenues, hormis l’art. 179 septies CP, constituent des délits ; en particulier celles de menace et de contrainte représentent des atteintes contre la liberté. Dès lors, au vu de l’importance de ce bien juridique, ces délits ne sont pas anodins, que les faits soient constitutifs de « stalking » ou pas. Partant, au vu des nombreux comportements délictueux répétés par la recourante sur une période de plus d’une année, les infractions commises doivent être qualifiées de graves. Enfin, malgré une enquête pénale ouverte à son encontre ainsi qu’un avertissement formel du Tribunal des mesures de contrainte le 27 juin 2015, la recourante a réitéré son comportement délictueux à peine un mois après avoir passé deux jours en détention alors qu’elle avait pris des engagements de ne pas recommencer. Au vu de la répétition constante de ces actes, il faut considérer que la recourante ne peut s’empêcher de contacter, insulter et menacer les plaignants. La nature des infractions, pas plus que la gravité des injures commises par la recourante depuis l’avertissement formel, ne sont pas déterminantes comme elle semble l’invoquer. En revanche, sa volonté délictuelle apparaît bien présente dans la mesure où elle ne peut à l’évidence pas arrêter d’importuner les plaignants. Partant, le pronostic quant au risque de réitération qui doit être posé est incontestablement défavorable. Aucun élément soulevé n’est au demeurant de nature à renverser un tel pronostic.</w:t>
      </w:r>
    </w:p>
    <w:p>
      <w:r>
        <w:rPr>
          <w:b/>
        </w:rPr>
        <w:t>E. 2.4</w:t>
      </w:r>
    </w:p>
    <w:p>
      <w:r>
        <w:t>A titre subsidiaire, la recourante propose que des mesures de substitution soient ordonnées en lieu et place de la détention, sous la forme d’une interdiction d’entretenir des relations de quelque manière que ce soit avec A.N.________, B.N.________ et [...] Sàrl, ainsi qu’avec le personnel de cette société. En l’espèce, il sied de relever que les mesures proposées par la recourante n’apparaissent pas pertinentes dans la mesure où cette dernière a déjà réitéré son comportement au cours de l’enquête alors qu’elle venait d’effectuer un bref passage en milieu carcéral, et malgré un avertissement formel de l’autorité. Partant, les mesures proposées ne sont pas de nature à prévenir suffisamment le risque de réitération.</w:t>
      </w:r>
    </w:p>
    <w:p>
      <w:r>
        <w:rPr>
          <w:b/>
        </w:rPr>
        <w:t>E. 3</w:t>
      </w:r>
    </w:p>
    <w:p>
      <w:r>
        <w:t>Concernant le respect du principe de la proportionnalité,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En l’espèce, P.________ est détenue depuis le 3 novembre 2015, soit depuis un peu plus d’un mois. Compte tenu des actes qui lui sont reprochés, elle encourt une peine privative de liberté de plusieurs mois. Par conséquent, le principe de la proportionnalité, dont la recourante invoque la violation, est respecté. Toutefois, l’audience de jugement devant le Tribunal correctionnel de la Côte étant fixée aux 15 et 16 février 2016 et la lecture du jugement au 22 février 2016, le terme de la détention pour des motifs de sûreté doit être ram ené d’office au 23 février 2016.</w:t>
      </w:r>
    </w:p>
    <w:p>
      <w:r>
        <w:rPr>
          <w:b/>
        </w:rPr>
        <w:t>E. 4</w:t>
      </w:r>
    </w:p>
    <w:p>
      <w:r>
        <w:t>En définitive, le recours, manifestement mal fondé, doit être rejeté et l'ordonnance entreprise confirmée sur le principe. Les frais de la procédure de recours, constitués en l’espèce de l’émolument d'arrêt, par 880 fr. (art. 20 al. 1 TFIP [tarif des frais de procédure et indemnités en matière pénale ; RSV 312.03.1]), et des frais imputables à la défense d’office (art. 422 al. 1 et 2 let. a CPP), fixés à 720 fr., plus la TVA par 57 fr. 60, soit 777 fr. 60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30 novembre 2015 est réformée d’office en ce sens que la détention pour des motifs de sûreté est prononcée jusqu’au 23 février 2016. Elle est confirmée pour le surplus. III. L’indemnité allouée au défenseur d’office de P.________ est fixée à 777 fr. 60 (sept cent septante-sept francs et soixante centimes). IV. Les frais d’arrêt, par 880 fr. (huit cent huitante francs), ainsi que l’indemnité due au défenseur d’office de P.________, par 777 fr. 60 (sept cent septante-sept francs et soixante centimes), sont mis à la charge de cette dernière. V. Le remboursement à l'Etat de l'indemnité allouée au chiffre III ci-dessus ne sera exigible que pour autant que la situation économique de P.________ se soit améliorée. VI. Le présent arrêt est exécutoire. Le président :               La greffière : Du Le présent arrêt, dont la rédaction a été approuvée à huis clos, est notifié, par l'envoi d'une copie complète, à : - Me Christian Dénériaz, avocat (pour P.________), - Ministère public central, et communiqué à : - M. le Président du Tribunal des mesures de contrainte, - M. le Procureur de l’arrondissement de la Côte, - Me Kieu-Oanh Nguyen, avocate (pour A.N.________, [...] Sàrl, L.________ et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