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923 vom 14. Dezember 2015</w:t>
      </w:r>
    </w:p>
    <w:p>
      <w:r>
        <w:t>VD Tribunal cantonal, 2015-12-14, FR</w:t>
      </w:r>
    </w:p>
    <w:p>
      <w:r>
        <w:rPr>
          <w:b/>
        </w:rPr>
        <w:t xml:space="preserve">Quelle: </w:t>
      </w:r>
      <w:r>
        <w:t>https://mcp.opencaselaw.ch/entscheid/vd_findinfo_D_cision___2015___923</w:t>
      </w:r>
    </w:p>
    <w:p>
      <w:r>
        <w:t>FR: VD_FINDINFO Décision / 2015 / 923 du 14 décembre 2015</w:t>
      </w:r>
    </w:p>
    <w:p>
      <w:r>
        <w:t>IT: VD_FINDINFO Décision / 2015 / 923 del 14 dicembre 2015</w:t>
      </w:r>
    </w:p>
    <w:p>
      <w:pPr>
        <w:pStyle w:val="Heading2"/>
      </w:pPr>
      <w:r>
        <w:t>Regeste</w:t>
      </w:r>
    </w:p>
    <w:p>
      <w:r>
        <w:t>RISQUE DE FUITE, RISQUE DE COLLUSION, DÉTENTION PROVISOIRE | 221 al. 1 let. a CPP (CH), 221 al. 1 let. b CPP (CH), 228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une détenue qui a qualité pour recourir (art. 222 et 382 al. 1 CPP) et dans les formes prescrites (art. 385 al. 1 CPP), le recours de D.________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et la détention pour des motifs de sûreté ne doivent pas durer plus longtemps que la peine privative de liberté prévisible (art. 212 al. 3 CPP).</w:t>
      </w:r>
    </w:p>
    <w:p>
      <w:r>
        <w:rPr>
          <w:b/>
        </w:rPr>
        <w:t>E. 2.2</w:t>
      </w:r>
    </w:p>
    <w:p>
      <w:r>
        <w:t>La recourante soutient en substance qu’elle n’aurait à aucun moment usé de procédés astucieux afin de se voir remettre des sommes d’argent de la part du plaignant. Elle allègue notamment qu’elle n’aurait jamais menti sur sa situation et que le seul fait qu’elle ait fourni des déclarations inexactes sur sa situation financière ne constituerait pas une tromperie, de sorte que, même sous l’angle de la vraisemblance, l’infraction d’escroquerie ne serait pas réalisée. Elle expose enfin que l’existence de graves soupçons ferait défaut et que les rapports existants entre les parties relèveraient tout au plus d’un litige à caractère purement civil.</w:t>
      </w:r>
    </w:p>
    <w:p>
      <w:r>
        <w:rPr>
          <w:b/>
        </w:rPr>
        <w:t>E. 2.2.1</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Il n’appartient cependant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 TF 1B_39/2014 du 11 février 2014 consid. 2.2).</w:t>
      </w:r>
    </w:p>
    <w:p>
      <w:r>
        <w:rPr>
          <w:b/>
        </w:rPr>
        <w:t>E. 2.2.2</w:t>
      </w:r>
    </w:p>
    <w:p>
      <w:r>
        <w:t>En l’espèce, le plaignant J.________ a catégoriquement reconnu, sur la base d’une photographie extraite de son compte Facebook, D.________ comme étant la personne rencontrée en avril 2014 qui s’était présentée à lui sous le pseudonyme «  [...]» et à qui il avait remis des sommes d’argent qui s’élèveraient à un montant total de 269'000 francs. En outre, lors de son audition d’arrestation, la recourante a confirmé qu’elle avait fait la connaissance du lésé et que celui-ci lui avait remis de l’argent à plusieurs reprises, bien que la somme totale dont elle a fait mention soit nettement inférieure à celle alléguée par le lésé. La recourante a de surcroît déjà fait l’objet de trois condamnations pour des vols en Suisse et elle est connue des autorités belges pour une longue liste d’infractions contre le patrimoine, dont divers agissements similaires tels que des escroqueries ou des actions suspectes (cf. rapport de police du 8 juillet 2015, p. 12). Comme l’a retenu à juste titre le Tribunal des mesures de contrainte, il appartiendra à l’autorité saisie de la cause au fond de déterminer avec exactitude la qualification juridique des faits reprochés à D.________. A ce stade de l’instruction, les éléments au dossier ne permettent de loin pas d’exclure que l’infraction d’escroquerie soit réalisée. Bien au contraire, si l’on se réfère au modus operandi que semble adopter la recourante, lequel consiste à tromper la confiance de personnes âgées afin d’obtenir de l’argent de leurs part et à tirer profit du fait que leur esprit critique pourrait être altéré en raison de leur âge avancé, comme cela a été le cas dans la présente affaire, dès lors que le lésé était âgé de 80 ans au moment des faits, la commission d’une telle infraction apparaît vraisemblable. En dernier lieu, au regard notamment de la somme litigieuse, les faits doivent être qualifiés de graves. Les derniers éléments produits devant le Tribunal des mesures de contrainte par le Ministère public ne font pas ailleurs que renforcer les soupçons qui pèsent sur la prévenue. Au vu des éléments qui précèdent, il existe, à ce stade de la procédure, des indices suffisamment sérieux de culpabilité à l’encontre de D.________ pour justifier son maintien en détention provisoire.</w:t>
      </w:r>
    </w:p>
    <w:p>
      <w:r>
        <w:rPr>
          <w:b/>
        </w:rPr>
        <w:t>E. 2.3</w:t>
      </w:r>
    </w:p>
    <w:p>
      <w:r>
        <w:t>Le Tribunal des mesures de contrainte a considéré que tant le risque de fuite que le risque de collusion étaient réalisés en l’espèce, ce que la recourante ne conteste d’ailleurs pas dans son recours.</w:t>
      </w:r>
    </w:p>
    <w:p>
      <w:r>
        <w:rPr>
          <w:b/>
        </w:rPr>
        <w:t>E. 2.3.1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(TF 1B_87/2014 du 19 mars 2014 consid. 3.1 ; TF 1B_145/2012 du 19 avril 2012 consid. 3.1 non publié aux ATF 138 IV 81). A l’instar du Tribunal des mesures de contrainte, la Cour de céans considère que le risque de fuite que présente D.________ est patent. Ressortissante roumaine et sans statut légal, la prévenue est de passage en Suisse et indique résider à Annemasse dans une caravane. Il est dès lors fortement à craindre qu’en cas de libération, elle disparaisse dans la clandestinité en vue de se soustraire à la procédure pénale en cours et à la sanction prévisible encourue, ce d’autant plus au regard de la gravité des faits qui lui sont reprochés.</w:t>
      </w:r>
    </w:p>
    <w:p>
      <w:r>
        <w:rPr>
          <w:b/>
        </w:rPr>
        <w:t>E. 2.3.2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 art. 221 CPP ; cf. ATF 137 IV 122 c. 6.2 et 6.4) –, vise à garantir la constatation exacte et complète des faits. En l’espèce, D.________ a agi avec des complices qui n’ont pas encore été interpellés ni identifiés à ce jour. Des mesures d’instruction spécifiques annoncées par le Procureur sont en cours ou doivent encore être effectuées. Ces mesures seront compromises en cas de libération de la prévenue. Il convient dès lors de l’empêcher de prendre contact avec ses comparses et de faire disparaître des moyens de preuve ou des éléments de son patrimoine. Partant, le risque de collusion est concret et s’oppose à la mise en liberté de la recourante.</w:t>
      </w:r>
    </w:p>
    <w:p>
      <w:r>
        <w:rPr>
          <w:b/>
        </w:rPr>
        <w:t>E. 2.3.3</w:t>
      </w:r>
    </w:p>
    <w:p>
      <w:r>
        <w:t>Les risques fondant la détention provisoire étant des motifs alternatifs, la question de l’existence d’un éventuel risque de réitération peut demeurer indécise, dès lors que la détention provisoire est justifiée par les risques de fuite et de collusion.</w:t>
      </w:r>
    </w:p>
    <w:p>
      <w:r>
        <w:rPr>
          <w:b/>
        </w:rPr>
        <w:t>E. 2.3.4</w:t>
      </w:r>
    </w:p>
    <w:p>
      <w:r>
        <w:t>Pour le surplus, aucune mesure de substitution n’est propre à prévenir les risques retenus. La recourante n’en propose du reste aucune à l’appui de son recours.</w:t>
      </w:r>
    </w:p>
    <w:p>
      <w:r>
        <w:rPr>
          <w:b/>
        </w:rPr>
        <w:t>E. 3</w:t>
      </w:r>
    </w:p>
    <w:p>
      <w:r>
        <w:t>D.________ est détenue depuis le 27 octobre 2015. Compte tenu de la gravité des faits qui lui sont reprochés, en particulier si l’on se réfère au montant total litigieux dans la présente cause, la détention provisoire demeure parfaitement proportionnée au regard de la peine qui est susceptible d’être prononcée en cas de condamnation (art. 212 al. 3 CPP).</w:t>
      </w:r>
    </w:p>
    <w:p>
      <w:r>
        <w:rPr>
          <w:b/>
        </w:rPr>
        <w:t>E. 4</w:t>
      </w:r>
    </w:p>
    <w:p>
      <w:r>
        <w:t>Il résulte de ce qui précède que le recours, manifestement mal fondé, doit être rejeté sans autre échanges d’écritures (art. 390 al. 2 CPP) et l’ordonnance du 30 novembre 2015 confirmée. Les frais de la procédure de recours, constitués en l’espèce de l’émolument d’arrêt (art. 422 al. 1 CPP), par 770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30 novembre 2015 est confirmée. III. Les frais d’arrêt, par 770 fr. (sept cent septante francs), sont mis à la charge de D.________. IV. Le présent arrêt est exécutoire. Le président :              Le greffier : Du Le présent arrêt, dont la rédaction a été approuvée à huis clos, est notifié, par l'envoi d'une copie complète, à : - Me David Métille, avocat (pour D.________), - Ministère public central, et communiqué à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