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917 vom 30. November 2015</w:t>
      </w:r>
    </w:p>
    <w:p>
      <w:r>
        <w:t>VD Tribunal cantonal, 2015-11-30, FR</w:t>
      </w:r>
    </w:p>
    <w:p>
      <w:r>
        <w:rPr>
          <w:b/>
        </w:rPr>
        <w:t xml:space="preserve">Quelle: </w:t>
      </w:r>
      <w:r>
        <w:t>https://mcp.opencaselaw.ch/entscheid/vd_findinfo_D_cision___2015___917</w:t>
      </w:r>
    </w:p>
    <w:p>
      <w:r>
        <w:t>FR: VD_FINDINFO Décision / 2015 / 917 du 30 novembre 2015</w:t>
      </w:r>
    </w:p>
    <w:p>
      <w:r>
        <w:t>IT: VD_FINDINFO Décision / 2015 / 917 del 30 novembre 2015</w:t>
      </w:r>
    </w:p>
    <w:p>
      <w:pPr>
        <w:pStyle w:val="Heading2"/>
      </w:pPr>
      <w:r>
        <w:t>Regeste</w:t>
      </w:r>
    </w:p>
    <w:p>
      <w:r>
        <w:t>NON-LIEU, NOTIFICATION DE LA DÉCISION, ILLICÉITÉ, LÉSION CORPORELLE | 14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 RSV 312.01] ; art. 80 LOJV [loi d’organisation judiciaire ; RSV 173.01]).</w:t>
      </w:r>
    </w:p>
    <w:p>
      <w:r>
        <w:rPr>
          <w:b/>
        </w:rPr>
        <w:t>E. 1.2</w:t>
      </w:r>
    </w:p>
    <w:p>
      <w:r>
        <w:t>Le délai de dix jours pour former recours commence à courir le jour qui suit la notification de l’ordonnance entreprise (art. 90 al. 1 CPP). Si le dernier jour du délai est un samedi, un dimanche ou un jour férié selon le droit fédéral ou cantonal, le délai expire le premier jour ouvrable qui suit (art. 90 al. 2 CPP). L’acte de recours doit être remis au plus tard le dernier jour du délai à l’autorité pénale, à la Poste suisse, à une représentation consulaire ou diplomatique suisse ou, s’agissant de personnes détenues, à la direction de l’établissement carcéral (cf. art. 91 al. 2 CPP). La preuve de la notification incombe à l’autorité pénale et lorsqu’il existe effectivement un doute au sujet de la date de la notification, il y a lieu de se fonder sur les déclarations du destinataire de la communication (ATF 129 I 8 consid. 2.2 ; ATF 124 V 400 consid. 2a et les références citées).</w:t>
      </w:r>
    </w:p>
    <w:p>
      <w:r>
        <w:rPr>
          <w:b/>
        </w:rPr>
        <w:t>E. 1.3</w:t>
      </w:r>
    </w:p>
    <w:p>
      <w:r>
        <w:t>En l’espèce, l’ordonnance litigieuse a été adressée sous pli simple au recourant le 15 septembre 2015. Dans son acte, celui-ci affirme ne l’avoir jamais reçue. Conformément à la jurisprudence rappelée ci-dessus, il n’y a pas lieu de mettre en doute l’affirmation du recourant sur ce point. Partant, la date mentionnée dans le mémoire de recours, soit le 12 octobre 2015, doit être admise pour la comptabilisation du délai. Remis à la poste le 22 octobre 2015 et reçu au greffe du Tribunal cantonal le 23 octobre suivant, le recours a ainsi été déposé dans le délai légal auprès de l’autorité compétente par le plaignant, qui a qualité pour recourir (cf. art. 382 al. 1 CPP). Interjeté de surcroît dans les formes prescrites (art. 385 al. 1 CPP), le recours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JdT 2012 IV 160 consid.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w:t>
      </w:r>
    </w:p>
    <w:p>
      <w:r>
        <w:t>Le recourant soutient que les policiers auraient usé de violence à son encontre sans raison évidente, qu’ils l’auraient roué de coups et menotté.</w:t>
      </w:r>
    </w:p>
    <w:p>
      <w:r>
        <w:rPr>
          <w:b/>
        </w:rPr>
        <w:t>E. 3.2</w:t>
      </w:r>
    </w:p>
    <w:p>
      <w:r>
        <w:t>Aux termes de l’art. 14 CP (Code pénal suisse du 21 décembre 1937 ; RS 311.0), quiconque agit comme la loi l’ordonne ou l’autorise se comporte de manière licite, même si l’acte est punissable en vertu du présent code ou d’une autre loi. Il était déjà acquis, aux termes de la jurisprudence et de la doctrine relatives à l’art. 32 aCP, que le devoir de fonction et le devoir de profession, tels qu’expressément prévus à l’art. 32 aCP,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in : Roth/Moreillon [éd.], Commentaire romand, Code pénal I, art. 1-110 CP, Bâle 2009, n. 21 ad art. 14-18 CP, p. 174 et la référence citée ; CREP du 15 juin 2015/396 ; CREP du 26 mai 2015/358). Au terme de l’art. 25 al. 1 du Règlement général de police de l’Association de communes sécurité Riviera, la police peut appréhender et conduire au poste de police, aux fins d’identification seulement, toute personne qui ne peut justifier de son identité. La licéité de l'acte est, en tous les cas, subordonnée à la condition qu'il soit proportionné à son but (ATF 107 IV 84 consid. 4). Il faut donc se demander si le préjudice porté aux droits de tiers n'excède pas ce qui est nécessaire pour atteindre le but qui le justifie (ATF 107 IV 84 précité consid. 4 et 4a ; ATF 94 IV 5 consid. 1 et 2a). Le respect de la proportionnalité est une question de droit, qui relève avant tout de l'appréciation, laquelle doit intervenir en se replaçant dans les circonstances concrètes du cas, en tenant compte de la justification et du type de la mesure prise, des moyens et du temps dont disposait l'intéressé selon la représentation qu'il avait des faits au moment où il a agi, de la réalité du terrain, de l'urgence ou encore de l'état de tension dans lequel l'auteur pouvait être légitimement plongé (TF 6B_930/2008 du 15 janvier 2009 consid. 3.1 et la référence citée). Ainsi, les autorités judiciaires ne doivent pas se livrer à des raisonnements a posteriori trop subtils pour établir si l'auteur des mesures de défense n'aurait pas pu ou dû se contenter d'avoir recours à des moyens moins dommageables (Monnier, op. cit., n. 5 ad art. 14-18 CP et les références citées).</w:t>
      </w:r>
    </w:p>
    <w:p>
      <w:r>
        <w:rPr>
          <w:b/>
        </w:rPr>
        <w:t>E. 3.3</w:t>
      </w:r>
    </w:p>
    <w:p>
      <w:r>
        <w:t>En l’espèce, le recourant se plaint de lésions corporelles. Or, les indices tendant à admettre une brutalité policière à son encontre apparaissent très faibles voire inexistants. Le document médical de transmission ne fait pas mention de violence ou de coups, notamment à la tête, qui auraient pu provoquer un malaise ayant nécessité l’hospitalisation dont le recourant a fait l’objet. A l’inverse, le motif de la prise en charge du patient figurant sur ce document fait état d’un malaise d’origine indéterminée. Les médecins semblent exclure un trouble neurologique et concluent que le recourant souffre d’un trouble de conversion hystérique pour lequel ils demandent un avis psychiatrique. Pour le surplus, les policiers appelés en renfort par un contrôleur des CFF, exposant que le recourant avait refusé de présenter son billet, étaient légitimés à lui demander ses papiers d’identité et, en cas de refus, à l’obliger à descendre du train. Les policiers ont donc agi dans le cadre de leur fonction et de manière proportionnée dans la mesure où aucune trace de violence n’a été relevée. Ils ont par conséquent agi conformément à l’art. 25 du Règlement général de police de l’Association de communes sécurité Riviera en lien avec l’art. 14 CP. Partant, l’appréciation de la Procureure quant au fait que les éléments constitutifs de l’infraction de lésion corporelle ne sont manifestement pas réunis doit être confirmée.</w:t>
      </w:r>
    </w:p>
    <w:p>
      <w:r>
        <w:rPr>
          <w:b/>
        </w:rPr>
        <w:t>E. 4</w:t>
      </w:r>
    </w:p>
    <w:p>
      <w:r>
        <w:t>En définitive, le recours, manifestement mal fondé, doit être rejeté sans autres échanges d’écritures (art. 390 al. 2 CPP) et l’ordonnance de non-entrée en matière du 15 septembre 2015 confirmée.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15 septembre 2015 est confirmée. III. Les frais d’arrêt, par 660 fr. (six cent soixante francs), sont mis à la charge du recourant. IV. Le présent arrêt est exécutoire. Le président :               La greffière : Du Le présent arrêt, dont la rédaction a été approuvée à huis clos, est notifié, par l'envoi d'une copie complète, à : - Me Carlo Borradori, avocat (pour Q.________),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