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 vom 28. Januar 2015</w:t>
      </w:r>
    </w:p>
    <w:p>
      <w:r>
        <w:t>VD Tribunal cantonal, 2015-01-28, FR</w:t>
      </w:r>
    </w:p>
    <w:p>
      <w:r>
        <w:rPr>
          <w:b/>
        </w:rPr>
        <w:t xml:space="preserve">Quelle: </w:t>
      </w:r>
      <w:r>
        <w:t>https://mcp.opencaselaw.ch/entscheid/vd_findinfo_D_cision___2015___91</w:t>
      </w:r>
    </w:p>
    <w:p>
      <w:r>
        <w:t>FR: VD_FINDINFO Décision / 2015 / 91 du 28 janvier 2015</w:t>
      </w:r>
    </w:p>
    <w:p>
      <w:r>
        <w:t>IT: VD_FINDINFO Décision / 2015 / 91 del 28 gennaio 2015</w:t>
      </w:r>
    </w:p>
    <w:p>
      <w:pPr>
        <w:pStyle w:val="Heading2"/>
      </w:pPr>
      <w:r>
        <w:t>Regeste</w:t>
      </w:r>
    </w:p>
    <w:p>
      <w:r>
        <w:t>LIBÉRATION CONDITIONNELLE | 86 al. 1 CP, 26 LEP</w:t>
      </w:r>
    </w:p>
    <w:p>
      <w:pPr>
        <w:pStyle w:val="Heading2"/>
      </w:pPr>
      <w:r>
        <w:t>Erwägungen</w:t>
      </w:r>
    </w:p>
    <w:p>
      <w:r>
        <w:rPr>
          <w:b/>
        </w:rPr>
        <w:t>E. 1</w:t>
      </w:r>
    </w:p>
    <w:p>
      <w:r>
        <w:t>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par renvoi de l’art. 38 al.</w:t>
      </w:r>
    </w:p>
    <w:p>
      <w:r>
        <w:rPr>
          <w:b/>
        </w:rPr>
        <w:t>E. 2</w:t>
      </w:r>
    </w:p>
    <w:p>
      <w:r>
        <w:t>LEP. Le recours doit être adressé par écrit, dans un délai de dix jours dès la notification de la décision attaquée (cf. art. 384 let. b CPP), à l’autorité de recours (art. 396 al. 1 CPP). Le recours a été interjeté en temps utile (art. 91 al. 4 et 396 CPP). Il satisfait aux conditions de forme posées par l’art. 385 al. 1 CPP, de sorte qu’il y a lieu d’entrer en matière.</w:t>
      </w:r>
    </w:p>
    <w:p>
      <w:r>
        <w:rPr>
          <w:b/>
        </w:rPr>
        <w:t>E. 2.1</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 1a/aa). On peut même se demander si le comportement en détention représente encore un critère indépendant ou s'il n'est pas, selon les circonstances, un simple élément supplémentaire d'appréciation pour établir le pronostic (ATF 119 IV 5 c. 1a/aa et les références citées; TF 6A.71/2004 du 29 novembre 2004 c.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doivent être pris en considération dans l'établissement du pronostic (ATF 119 IV 5 c. 1a/bb; CREP 27 septembre 2013/563 c. 2b in fine).</w:t>
      </w:r>
    </w:p>
    <w:p>
      <w:r>
        <w:rPr>
          <w:b/>
        </w:rPr>
        <w:t>E. 2.2</w:t>
      </w:r>
    </w:p>
    <w:p>
      <w:r>
        <w:t>En l’espèce, la condition objective de l’exécution des deux tiers de la peine prévue par l'art. 86 al. 1 CP est réalisée depuis le 17 septembre 2014. En revanche, le comportement du condamné en détention a été émaillé de nombreux incidents. Les épisodes ayant compromis l’intégrité corporelle d’agents de détention et de policiers doivent être qualifiés de graves. Il en va de même des incidents qui ont comporté des menaces explicites portant sur la sécurité de tiers. Ces actes témoignent d’une propension marquée à l’agressivité. Comme cela ressort du procès-verbal de son audition, le recourant peine à prendre la pleine mesure de la portée de ses actes. Il soutient cependant que le dernier incident du 5 novembre 2014 serait survenu du fait qu’il ne bénéficiait alors plus du suivi thérapeutique qui lui était dispensé avant son transfert aux EPO et qu’il avait « cherché un soutien thérapeutique en vain ». Même si tel devait avoir été le cas, le comportement incriminé n’en serait pas excusable pour autant. On relèvera par ailleurs que le soutien médical prodigué auparavant n’a visiblement pas suffi à prévenir des actes de violence pour lesquels il a précédemment été sanctionné. On doit donc considérer que, par son comportement en prison, le recourant a porté des atteintes graves au fonctionnement des établissements dans lesquels il était incarcéré ainsi qu’aux intérêts dignes de protection des agents de détention et de police visés par ses agissements. Il s’agit de comportements suffisamment graves et caractérisés pour considérer qu’ils s’opposent, en eux-mêmes, à l’élargissement du condamné. La seconde condition de l’art. 86 al. 1 CP n’est ainsi pas réalisée.</w:t>
      </w:r>
    </w:p>
    <w:p>
      <w:r>
        <w:rPr>
          <w:b/>
        </w:rPr>
        <w:t>E. 2.3</w:t>
      </w:r>
    </w:p>
    <w:p>
      <w:r>
        <w:t>Par surabondance, les projets de réinsertion du condamné paraissent certes réalistes ; ils sont à tout le moins étayés par des pièces, à savoir par un engagement d’un agriculteur du 26 novembre 2014 d’offrir une place de stage au condamné, voire de conclure avec lui un contrat de travail à durée indéterminée, le stipulant se déclarant en outre prêt à abriter l’intéressé dès le 15 janvier 2015, ainsi que par une déclaration écrite de l’aumônier de la Prison de La Promenade (P. 12 avec bordereau) et par le témoignage de la mère du condamné. Cela étant, il n’en reste pas moins que le recourant est un multirécidiviste. Dans leur rapport du 11 octobre 2012, versé au dossier dans la procédure clôturée par le jugement rendu le 12 juillet 2013 par le Tribunal criminel de l’arrondissement de Lausanne, les experts psychiatres ont conclu à un risque de réitération qui « continu[ait] à être élevé » (rapport, pp. 12 s.). Contrairement à ce que soutient le condamné, ce risque n’était, selon les experts, pas seulement lié au désoeuvrement et à des projets professionnels peu réalistes, mais aussi à l’échec de la mesure antérieure, à la réitération d’infractions, à son absence de capacité introspective et à sa grande impulsivité. Or, le comportement du condamné en détention montre qu’il n’a absolument pas évolué et qu’il reste dangereux. Dans ces conditions et en dépit de l’effet de prévention des peines exécutées, la cour de céans considère le risque de réitération comme élevé. En d’autres termes, il y a tout lieu de craindre que le condamné ne commette de nouveaux crimes ou de nouveaux délits s’il venait à être libéré conditionnellement. Il lui incombe dès lors de faire d’abord ses preuves en prison, comme l’a relevé la Juge d’application des peines.</w:t>
      </w:r>
    </w:p>
    <w:p>
      <w:r>
        <w:rPr>
          <w:b/>
        </w:rPr>
        <w:t>E. 2.4</w:t>
      </w:r>
    </w:p>
    <w:p>
      <w:r>
        <w:t>Au vu de ce qui précède, c’est à bon droit que la Juge d’application des peines a refusé d’accorder au condamné la libération conditionnelle.</w:t>
      </w:r>
    </w:p>
    <w:p>
      <w:r>
        <w:rPr>
          <w:b/>
        </w:rPr>
        <w:t>E. 3</w:t>
      </w:r>
    </w:p>
    <w:p>
      <w:r>
        <w:t>Il résulte de ce qui précède que le recours, manifestement mal fondé, doit être rejeté sans autres échanges d’écritures (art. 390 al. 2 CPP) et l’ordonnance du 9 janvier 2015 confirmée.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9 janvier 2015 est confirmée. III. L’indemnité allouée au défenseur d’office de O.________ est fixée à 777 fr. 60 (sept cent septante-sept francs et soixante centimes). IV. Les frais d’arrêt, par 1’100 fr. (mille cent francs), ainsi que l’indemnité due au défenseur d’office de O.________, par 777 fr. 60 (sept cent septante-sept francs et soixante centimes), sont mis à la charge de ce dernier. V. Le remboursement à l'Etat de l'indemnité allouée au chiffre III ci-dessus ne sera exigible que pour autant que la situation économique de O.________ se soit améliorée. VI. Le présent arrêt est exécutoire. Le président :               Le greffier : Du Le présent arrêt, dont la rédaction a été approuvée à huis clos, est notifié, par l'envoi d'une copie complète, à : - Mme Irène Schmidlin, avocat (pour O.________), - Ministère public central et communiqué à : - Mme la Juge d’application des peines, - Mme la Procureure du Ministère public de l’arrondissement de La Côte, - Office d’exécution des peines (réf. : OEP/PPL/80912/VRI/PEJ), - M. le Surveillant-chef, Etablissements de la Plaine de l’Orbe, - Service de la population, secteurs étrangers (O.________, 11.09.1992),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