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909 vom 9. Dezember 2015</w:t>
      </w:r>
    </w:p>
    <w:p>
      <w:r>
        <w:t>VD Tribunal cantonal, 2015-12-09, FR</w:t>
      </w:r>
    </w:p>
    <w:p>
      <w:r>
        <w:rPr>
          <w:b/>
        </w:rPr>
        <w:t xml:space="preserve">Quelle: </w:t>
      </w:r>
      <w:r>
        <w:t>https://mcp.opencaselaw.ch/entscheid/vd_findinfo_D_cision___2015___909</w:t>
      </w:r>
    </w:p>
    <w:p>
      <w:r>
        <w:t>FR: VD_FINDINFO Décision / 2015 / 909 du 9 décembre 2015</w:t>
      </w:r>
    </w:p>
    <w:p>
      <w:r>
        <w:t>IT: VD_FINDINFO Décision / 2015 / 909 del 9 dicembre 2015</w:t>
      </w:r>
    </w:p>
    <w:p>
      <w:pPr>
        <w:pStyle w:val="Heading2"/>
      </w:pPr>
      <w:r>
        <w:t>Regeste</w:t>
      </w:r>
    </w:p>
    <w:p>
      <w:r>
        <w:t>CALOMNIE, DIFFAMATION, CLASSEMENT DE LA PROCÉDURE | 173 CP, 174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interjeté en temps utile devant l’autorité compétente par la partie plaignante qui a qualité pour recourir (art. 382 al. 1 CPP) et dans les formes prescrites après avoir été mis en conformité avec les exigences légales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ATF 138 IV 186; TF 1B_272/2011 du 22 mars 2012 consid.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2.1.3</w:t>
      </w:r>
    </w:p>
    <w:p>
      <w:r>
        <w:t>et les références citées; Corboz, Les infractions en droit suisse, 3 e éd., vol. I, Berne 2010, n. 42 ad art.173 CP). Tant la diffamation que la calomnie sont des infractions intentionnelles (Corboz, op. cit., n. 48 ad art. 173 CP et n. 11 ad art. 174 CP), la seconde se distinguant de la première en ce sens qu'un élément subjectif supplémentaire doit être réalisé, à savoir que l'auteur sait – le dol éventuel n'étant pas suffisant – que le fait qu'il allègue est faux (TF 6S.451/2002 du 10 janvier 2003 consid. 2.2 et les références citées ; Corboz, op. cit., n. 11 ad art. 174 CP; Favre/Pellet/Stoudmann, Code pénal annoté, 3 e éd., Lausanne 2007, n. 1.1 ad art. 174 CP).</w:t>
      </w:r>
    </w:p>
    <w:p>
      <w:r>
        <w:rPr>
          <w:b/>
        </w:rPr>
        <w:t>E. 2.2.1</w:t>
      </w:r>
    </w:p>
    <w:p>
      <w:r>
        <w:t>Aux termes de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Ces deux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w:t>
      </w:r>
    </w:p>
    <w:p>
      <w:r>
        <w:rPr>
          <w:b/>
        </w:rPr>
        <w:t>E. 2.2.2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p. 48). La preuve de la vérité est apportée lorsque l'auteur de la diffamation établit que les allégations qu'il a articulées ou propagées sont vraies (ATF 124 IV 149 consid. 3a p. 150; ATF 121 IV 76 consid. 2a/bb p. 82/83). La preuve de la vérité doit porter sur le fait attentatoire à l'honneur qui a été allégué, soupçonné ou propagé; si les propos litigieux contiennent à la fois un jugement de valeur et une allégation de fait, la preuve a pour objet les faits qui fondent le jugement de valeur (cf. ATF 121 IV 76 consid. 2a/bb p. 83).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p. 150). La preuve de la bonne foi est apportée lorsque l'auteur établit qu'il avait des raisons sérieuses de tenir de bonne foi ses allégations pour vraies. L'accusé est de bonne foi s'il a cru à la véracité de ce qu'il disait. La bonne foi ne suffit cependant pas; encore faut-il que l'accusé ait eu des raisons sérieuses de croire ce qu'il disait; il doit donc démontrer avoir accompli les actes qu'on pouvait attendre de lui, selon les circonstances et sa situation personnelle, pour contrôler la véracité de ses allégations et la considérer comme établie (ATF 124 IV 149 consid. 3b p. 151 s. et les références citées ; TF 6S.451/2002 du 10 janvier 2003 consid. 2.1).</w:t>
      </w:r>
    </w:p>
    <w:p>
      <w:r>
        <w:rPr>
          <w:b/>
        </w:rPr>
        <w:t>E. 2.3</w:t>
      </w:r>
    </w:p>
    <w:p>
      <w:r>
        <w:t>En l’espèce, une condamnation pour calomnie peut être exclue, dans la mesure où la fausseté des allégations litigieuses n’est pas établie au vu des éléments figurant au dossier. Aucune mesure d’instruction n’est à même d’éclaircir ce point. Il est clair, en revanche, que les assertions en cause, qui ont été communiquées à des tiers, portent atteinte à l’honneur du recourant. Elles le font en effet apparaître comme un monstre en puissance, animé d’instincts sadiques. Certes, comme le relève le Ministère public, le recourant a été condamné le 18 juin 2008 dans le canton du Jura, notamment pour brigandage qualifié, instigation à délit manqué d’extorsion et chantage, injure, menaces et violation grave des règles de la circulation, à une peine privative de liberté de cinq ans, complémentaire à celle prononcée par jugement du 17 mars 2005 (P. 46, p. 8). Par jugement du Tribunal de police de la Broye et du Nord vaudois du 18 mars 2014, confirmé par arrêt de la Cour d’appel pénale du 4 septembre 2014, il a en outre été condamné pour avoir frappé [...] le 29 juin 2011 aux Etablissements de la plaine de l’Orbe (P. 46 et 47). Enfin, les pièces produites par O.________ suggèrent que ce dernier et sa famille, en raison d’un problème d’argent, ont été menacés et insultés par le recourant (cf. P. 49). Le recourant n’est sans doute pas un enfant de chœur. Toutefois, le prévenu n’a pas rapporté, alors que le fardeau de la preuve lui en incombe (ATF 132 IV 112 consid. 2.1), les preuves libératoires, au sens de l’art. 173 ch. 2 CP, de toutes les allégations qui portent atteinte à la considération du recourant. Il en est ainsi, en particulier, de celles qui lui prêtent des desseins criminels et sadiques et qui font état de mauvais traitements contre des animaux. Malgré les circonstances particulières du cas d’espèce (les propos litigieux rapportent ce que le recourant, vraisemblablement hors la présence de témoins, aurait confié au prévenu, apparemment le jour de l’évasion de celui-ci en juillet 2013, et la fiabilité des parties, vu leurs antécédents, paraît sujette à caution), une condamnation du prévenu pour diffamation n’apparaît à ce stade pas moins probable qu’un acquittement. L’ordonnance attaquée est par conséquent mal fondée en ce qu’elle ordonne le classement de la procédure pénale dirigée contre O.________ pour atteinte à l’honneur. Dans cette mesure, elle doit être annulée et le dossier de la cause renvoyé au Ministère public pour que, après avoir le cas échéant procédé à un complément d’instruction, il procède selon l’art. 318 al. 1 CPP.</w:t>
      </w:r>
    </w:p>
    <w:p>
      <w:r>
        <w:rPr>
          <w:b/>
        </w:rPr>
        <w:t>E. 3</w:t>
      </w:r>
    </w:p>
    <w:p>
      <w:r>
        <w:t>Il résulte de ce qui précède que le recours doit être admis et l’ordonnance du 16 septembre 2015 annulée en ce qui concerne le classement de la procédure pénale ouverte le 16 février 2015 contre O.________ pour avoir écrit et tenu des propos attentatoires à l’honneur du recourant en mars et mai 2014 ; elle sera maintenue pour le surplus. Le dossier de la cause sera renvoyé au Ministère public pour qu’il procède dans le sens des considérants. Les frais de la procédure de recours, constitués en l’espèce de l’émolument d'arrêt, par 990 fr. (art. 20 al. 1 TFIP [Tarif des frais de procédure et indemnités en matière pénale du 28 septembre 2010; RSV 312.03.1]), et des frais imputables d’une part à la défense d’office (art. 422 al. 1 et 2 let. a CPP), fixés à 90 fr., plus la TVA, par 7 fr. 20, soit un total de 97 fr. 20, et d’autre part à l’assistance judiciaire gratuite pour la partie plaignante, fixés à 450 fr., plus la TVA, par 36 fr., soit un total de 486 fr., seront mis à la charge de O.________ qui, ayant conclu au rejet du recours, succombe (art. 428 al. 1 CPP). Par ces motifs, la Chambre des recours pénale prononce : I. Le recours est admis. II. L’ordonnance du 16 septembre 2015 est annulée en ce qui concerne le classement de la procédure pénale ouverte le 16 février 2015 contre O.________ pour avoir écrit et tenu des propos attentatoires à l’honneur de Q.________ en mars et en mai 2014 ; elle est maintenue pour le surplus. III. Le dossier de la cause est renvoyé au Ministère public de l’arrondissement du Nord vaudois pour qu’il procède dans le sens des considérants. IV. L’indemnité allouée à Me Viredaz, conseil juridique gratuit de Q.________, est fixée à 486 fr. (quatre cent huitante-six francs). V. L’indemnité allouée à Me Ponsart, défenseur d’office d’O.________, est fixée à 97 fr. 20 (nonante-sept francs et vingt centimes). VI. Les frais d’arrêt, par 990 fr. (neuf cent nonante francs), ainsi que l’indemnité allouée au conseil juridique gratuit de Q.________, par 486 fr. (quatre cent huitante-six francs) et celle due au défenseur d’office de O.________, par 97 fr. 20 (nonante-sept francs et vingt centimes), sont mis à la charge de ce dernier. VII. Le remboursement à l’Etat de l’indemnité allouée au chiffre V ci-dessus ne sera exigible que pour autant que la situation économique de O.________ se soit améliorée. VIII. Le présent arrêt est exécutoire. Le président :               Le greffier : Du Le présent arrêt, dont la rédaction a été approuvée à huis clos, est notifié, par l'envoi d'une copie complète, à : - Me Baptiste Viredaz, avocat (pour Q.________), - Me Gwenaël Ponsart, avocat (pour O.________), - Me Bernard de Chedid, avocat (pour K.________),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