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904 vom 27. November 2015</w:t>
      </w:r>
    </w:p>
    <w:p>
      <w:r>
        <w:t>VD Tribunal cantonal, 2015-11-27, FR</w:t>
      </w:r>
    </w:p>
    <w:p>
      <w:r>
        <w:rPr>
          <w:b/>
        </w:rPr>
        <w:t xml:space="preserve">Quelle: </w:t>
      </w:r>
      <w:r>
        <w:t>https://mcp.opencaselaw.ch/entscheid/vd_findinfo_D_cision___2015___904</w:t>
      </w:r>
    </w:p>
    <w:p>
      <w:r>
        <w:t>FR: VD_FINDINFO Décision / 2015 / 904 du 27 novembre 2015</w:t>
      </w:r>
    </w:p>
    <w:p>
      <w:r>
        <w:t>IT: VD_FINDINFO Décision / 2015 / 904 del 27 novembre 2015</w:t>
      </w:r>
    </w:p>
    <w:p>
      <w:pPr>
        <w:pStyle w:val="Heading2"/>
      </w:pPr>
      <w:r>
        <w:t>Regeste</w:t>
      </w:r>
    </w:p>
    <w:p>
      <w:r>
        <w:t>NON-LIEU, REJET DE LA DEMANDE, APPROPRIATION ILLÉGITIME | 137 CP, 319 al. 1 CPP (CH), 393 al. 1 let. a CPP (CH)</w:t>
      </w:r>
    </w:p>
    <w:p>
      <w:pPr>
        <w:pStyle w:val="Heading2"/>
      </w:pPr>
      <w:r>
        <w:t>Erwägungen</w:t>
      </w:r>
    </w:p>
    <w:p>
      <w:r>
        <w:rPr>
          <w:b/>
        </w:rPr>
        <w:t>E. 1</w:t>
      </w:r>
    </w:p>
    <w:p>
      <w:r>
        <w:t>Les parties peuvent attaquer une ordonnance de classement rendue par le ministère public (cf. art. 319 ss CPP [Code de procédure pénale suisse du 5 octobre 2007 ; RS 312.0]) dans les dix jours devant l’autorité de recours (art. 322 al. 2 et 396 al. 1 CPP; cf. art. 20 al. 1 let. b CPP), qui, dans le canton de Vaud, est la Chambre des recours pénale du Tribunal cantonal (art. 13 LVCPP [Loi vaudoise d’introduction du Code de procédure pénale suisse du 19 mai 2009 ; RSV 312.01] ; art. 80 LOJV [Loi vaudoise d’organisation judiciaire du 12 décembre 1979 ; RSV 173.01]. Interjeté en temps utile et dans les formes prescrites auprès de l’auto­rité compétente par la partie plaignante qui a la qualité pour recourir (cf. art. 382 al. 1 CPP), le recours est recevable.</w:t>
      </w:r>
    </w:p>
    <w:p>
      <w:r>
        <w:rPr>
          <w:b/>
        </w:rPr>
        <w:t>E. 2</w:t>
      </w:r>
    </w:p>
    <w:p>
      <w:r>
        <w:t>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 ; TF 1B_272/2011 du 22 mars 2012 consid. 3.1.1). En d’autres termes, il implique qu'en principe, un classement ou une non-entrée en matière ne peut être prononcé par le ministère public que lorsqu'il apparaît clairement que les faits ne sont pas punissables ou que les conditions à la poursuite pénale ne sont pas remplies (TF 6B_797/2013 du 27 mars 2014 consid. 2.1).</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w:t>
      </w:r>
    </w:p>
    <w:p>
      <w:r>
        <w:rPr>
          <w:b/>
        </w:rPr>
        <w:t>E. 2.2</w:t>
      </w:r>
    </w:p>
    <w:p>
      <w:r>
        <w:t>En l’espèce, à l’instar du Procureur, la cour de céans considère que les faits reprochés au prévenu relatifs à la mauvaise exécution du contrat de mandat qui liait les parties et aux honoraires perçus par le prévenu relèvent d’un litige d’ordre civil. Quant à la question de la restitution des pièces confiées, les déclarations des parties sont contradictoires et l’instruction n’a pas permis d’établir si le prévenu avait conservé ou non tout ou partie des documents confiés. On peut toutefois douter que les auditions requises par le recourant puissent apporter des éléments utiles et qu’elles permettent en particulier d’établir si le prévenu a rendu tous les documents confiés, voire s’il en a gardé une partie. Quoi qu’il en soit, si, comme le prétend le recourant, les documents remis n’ont pas été restitués, cela ne signifie pas encore qu’il y ait eu appropriation illégitime au sens de l’art. 137 CP (Code pénal suisse du 21 décembre 1938 ; RS 311.0), la volonté d’appropriation illégitime n’étant pas établie, le prévenu ayant déjà été payé et cette volonté n’étant étayée par aucun élément du dossier. Les faits reprochés à Q.________ par le recourant s’ap­pa­­rentent tout au plus à une grossière négligen­ce, mais ils ne sont constitutifs d’aucune infraction pénale et le recourant ne fournit aucun indice dans ce sens. Il s’ensuit qu’aucune mesure d’instruction supplé­mentaire n’apparaît susceptible d’établir les éléments constitutifs d’une appropriation illégitime. C’est donc à juste titre que le Procureur a classé la procédure pénale dirigée contre Q.________.</w:t>
      </w:r>
    </w:p>
    <w:p>
      <w:r>
        <w:rPr>
          <w:b/>
        </w:rPr>
        <w:t>E. 3</w:t>
      </w:r>
    </w:p>
    <w:p>
      <w:r>
        <w:t>En définitive, le recours doit être rejeté et l’ordonnance du 11 août 2015 confirmée. Les frais de la procédure de recours, constitués du seul émolument d’arrêt, par 660  fr. (art. 20 al. 1 et 2 TFIP [Tarif des frais de procédure et indemnités en matière pénale du 28 septembre 2010 ; RSV 312.03.1]), seront mis à la charge du recourant, qui succombe (art. 428 al 1 CPP). Par ces motifs, la Chambre des recours pénale prononce : I. Le recours est rejeté. II. L’ordonnance du 11 août 2015 est confirmée. III. Les frais d’arrêt, par 660 fr. (six cent soixante francs), sont mis à la charge du recourant R.________. IV. Le présent arrêt est exécutoire. Le président :               La greffière : Du Le présent arrêt, dont la rédaction a été approuvée à huis clos, est notifié, par l'envoi d'une copie complète, à : - Me Philippe Rossy (pour R.________), - M. Q.________,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