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903 vom 1. Dezember 2015</w:t>
      </w:r>
    </w:p>
    <w:p>
      <w:r>
        <w:t>VD Tribunal cantonal, 2015-12-01, FR</w:t>
      </w:r>
    </w:p>
    <w:p>
      <w:r>
        <w:rPr>
          <w:b/>
        </w:rPr>
        <w:t xml:space="preserve">Quelle: </w:t>
      </w:r>
      <w:r>
        <w:t>https://mcp.opencaselaw.ch/entscheid/vd_findinfo_D_cision___2015___903</w:t>
      </w:r>
    </w:p>
    <w:p>
      <w:r>
        <w:t>FR: VD_FINDINFO Décision / 2015 / 903 du 1 décembre 2015</w:t>
      </w:r>
    </w:p>
    <w:p>
      <w:r>
        <w:t>IT: VD_FINDINFO Décision / 2015 / 903 del 1 dicembre 2015</w:t>
      </w:r>
    </w:p>
    <w:p>
      <w:pPr>
        <w:pStyle w:val="Heading2"/>
      </w:pPr>
      <w:r>
        <w:t>Regeste</w:t>
      </w:r>
    </w:p>
    <w:p>
      <w:r>
        <w:t>DÉCISION D'IRRECEVABILITÉ, OPPOSITION TARDIVE, DOMICILE ÉLU | 354 CPP (CH), 87 al. 2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10 septembre 2015/596 consid. 1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prévenu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 4 let. a). Selon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directe en Suisse; les instruments internationaux prévoyant la possibilité de notification directe sont réservés (al. 2). En matière pénale, les parties ont le droit de communiquer aux autorités une autre adresse de notification que celle de leur domicile, auquel cas la notification doit intervenir à l'adresse donnée, sous peine d'être jugée irrégulière (ATF 139 IV 228 consid. 1.2 ; CREP 20 août 2015/564 consid. 2.2).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L'ordonnance pénale du 22 juin 2015 a été envoyée par lettre signature du même jour à l'adresse de notification du recourant à Genève (P. 12), où elle été distribuée le 1 er juillet 2015 (P. 15). Le tribunal retient qu'elle a été valablement notifiée à cette date et que l'opposition d'F.________, intervenue le 14 octobre 2015, est manifestement tardive. F.________ ne conteste pas la tardiveté de son opposition mais invoque que les communications auraient mis des mois à lui parvenir dès lors qu'il résiderait hors de Suisse. F.________ a fait élection de domicile au sens de l'art. 87 al. 2 CPP chez G.________,[...] en remplissant et signant le formulaire ad hoc intitulé "domicile de notification", dont il a gardé une copie et remis un exemplaire au Parquet le jour de son audition (P. 12). En signant ce formulaire, il a pris acte qu'à défaut de changement de l'adresse de notification par déclaration écrite, datée et signée, cette personne recevrait toute communication à sa place durant toute la procédure (même pièce). F.________ n'a pas modifié son domicile de notification. Il n'a pas non plus informé de son séjour à l'étranger. On doit donc considérer que la notification à l'adresse de G.________ pour F.________ est valable. Dans ces conditions, le délai d'opposition a commencé à courir le jeudi 2 juillet 2015 (art. 90 al. 1 CPP), était échu le samedi 11 juillet 2015 pour être reporté au lundi 13 juillet 2015, premier jour ouvrable suivant. Formée le 14 octobre 2015, l'opposition d'F.________ est donc manifestement tardive.</w:t>
      </w:r>
    </w:p>
    <w:p>
      <w:r>
        <w:rPr>
          <w:b/>
        </w:rPr>
        <w:t>E. 2.3</w:t>
      </w:r>
    </w:p>
    <w:p>
      <w:r>
        <w:t>C’est dès lors à bon droit que le Tribunal de police de l’arrondissement de La Côte a déclaré l’opposition d'F.________ irrecevable et constaté que l’ordonnance pénale du 22 juin 2015, assimilée à un jugement entré en force (art. 354 al. 3 CPP), était exécutoire. Le recourant ne peut ainsi plus, comme il semble le faire dans son recours en se prévalant de ses difficultés financières, discuter sa condamnation.</w:t>
      </w:r>
    </w:p>
    <w:p>
      <w:r>
        <w:rPr>
          <w:b/>
        </w:rPr>
        <w:t>E. 3</w:t>
      </w:r>
    </w:p>
    <w:p>
      <w:r>
        <w:t>En définitive, le recours s'avère mal fondé. Il doit être rejeté sans autre échange d’écritures (art. 390 al. 2 CPP) et le prononcé du 30 octobre 2015 confirmé. Les frais de la procédure de recours, constitués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30 octobre 2015 est confirmé. III. Les frais de la procédure de recours, par 660 fr. (six cent soixante francs), sont mis à la charge d'F.________. IV. Le présent arrêt est exécutoire. Le président :               La greffière : Du Le présent arrêt, dont la rédaction a été approuvée à huis clos, est notifié, par l'envoi d'une copie complète, à : - F.________, - Ministère public central, et communiqué à : - Mme la Présidente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